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029F8" w14:textId="77777777" w:rsidR="00F25862" w:rsidRDefault="00F25862" w:rsidP="00F25862">
      <w:pPr>
        <w:rPr>
          <w:rFonts w:ascii="Cambria" w:eastAsia="Cambria" w:hAnsi="Cambria" w:cs="Cambria"/>
          <w:b/>
          <w:sz w:val="26"/>
          <w:szCs w:val="26"/>
        </w:rPr>
      </w:pPr>
    </w:p>
    <w:p w14:paraId="0086B550" w14:textId="77777777" w:rsidR="00F25862" w:rsidRPr="00994735" w:rsidRDefault="00F25862" w:rsidP="00F25862">
      <w:pPr>
        <w:jc w:val="center"/>
        <w:rPr>
          <w:rFonts w:ascii="Cambria" w:eastAsia="Cambria" w:hAnsi="Cambria" w:cs="Cambria"/>
          <w:b/>
          <w:sz w:val="26"/>
          <w:szCs w:val="26"/>
        </w:rPr>
      </w:pPr>
      <w:r w:rsidRPr="00090534">
        <w:rPr>
          <w:rStyle w:val="selectable-text"/>
          <w:rFonts w:ascii="Cambria" w:hAnsi="Cambria"/>
          <w:b/>
          <w:bCs/>
          <w:sz w:val="26"/>
          <w:szCs w:val="26"/>
        </w:rPr>
        <w:t xml:space="preserve">Food Security Strategy through the </w:t>
      </w:r>
      <w:proofErr w:type="spellStart"/>
      <w:r w:rsidRPr="00090534">
        <w:rPr>
          <w:rStyle w:val="selectable-text"/>
          <w:rFonts w:ascii="Cambria" w:hAnsi="Cambria"/>
          <w:b/>
          <w:bCs/>
          <w:sz w:val="26"/>
          <w:szCs w:val="26"/>
        </w:rPr>
        <w:t>Pekarangan</w:t>
      </w:r>
      <w:proofErr w:type="spellEnd"/>
      <w:r w:rsidRPr="00090534">
        <w:rPr>
          <w:rStyle w:val="selectable-text"/>
          <w:rFonts w:ascii="Cambria" w:hAnsi="Cambria"/>
          <w:b/>
          <w:bCs/>
          <w:sz w:val="26"/>
          <w:szCs w:val="26"/>
        </w:rPr>
        <w:t xml:space="preserve"> </w:t>
      </w:r>
      <w:proofErr w:type="spellStart"/>
      <w:r w:rsidRPr="00090534">
        <w:rPr>
          <w:rStyle w:val="selectable-text"/>
          <w:rFonts w:ascii="Cambria" w:hAnsi="Cambria"/>
          <w:b/>
          <w:bCs/>
          <w:sz w:val="26"/>
          <w:szCs w:val="26"/>
        </w:rPr>
        <w:t>Pangan</w:t>
      </w:r>
      <w:proofErr w:type="spellEnd"/>
      <w:r w:rsidRPr="00090534">
        <w:rPr>
          <w:rStyle w:val="selectable-text"/>
          <w:rFonts w:ascii="Cambria" w:hAnsi="Cambria"/>
          <w:b/>
          <w:bCs/>
          <w:sz w:val="26"/>
          <w:szCs w:val="26"/>
        </w:rPr>
        <w:t xml:space="preserve"> Lestari (P2L) Program in </w:t>
      </w:r>
      <w:proofErr w:type="spellStart"/>
      <w:r w:rsidRPr="00090534">
        <w:rPr>
          <w:rStyle w:val="selectable-text"/>
          <w:rFonts w:ascii="Cambria" w:hAnsi="Cambria"/>
          <w:b/>
          <w:bCs/>
          <w:sz w:val="26"/>
          <w:szCs w:val="26"/>
        </w:rPr>
        <w:t>Tulungagung</w:t>
      </w:r>
      <w:proofErr w:type="spellEnd"/>
      <w:r w:rsidRPr="00090534">
        <w:rPr>
          <w:rStyle w:val="selectable-text"/>
          <w:rFonts w:ascii="Cambria" w:hAnsi="Cambria"/>
          <w:b/>
          <w:bCs/>
          <w:sz w:val="26"/>
          <w:szCs w:val="26"/>
        </w:rPr>
        <w:t xml:space="preserve"> Regency</w:t>
      </w:r>
    </w:p>
    <w:p w14:paraId="4AE6639A" w14:textId="77777777" w:rsidR="00F25862" w:rsidRPr="008708F7" w:rsidRDefault="00F25862" w:rsidP="00F25862">
      <w:pPr>
        <w:jc w:val="center"/>
        <w:rPr>
          <w:rFonts w:ascii="Georgia" w:eastAsia="Georgia" w:hAnsi="Georgia" w:cs="Georgia"/>
          <w:sz w:val="22"/>
          <w:szCs w:val="22"/>
        </w:rPr>
      </w:pPr>
    </w:p>
    <w:p w14:paraId="0387E4DD" w14:textId="77777777" w:rsidR="00F25862" w:rsidRDefault="00F25862" w:rsidP="00F25862">
      <w:pPr>
        <w:jc w:val="center"/>
        <w:rPr>
          <w:rFonts w:ascii="Georgia" w:eastAsia="Georgia" w:hAnsi="Georgia" w:cs="Georgia"/>
          <w:sz w:val="22"/>
          <w:szCs w:val="22"/>
        </w:rPr>
      </w:pPr>
    </w:p>
    <w:p w14:paraId="0F63B008" w14:textId="77777777" w:rsidR="00F25862" w:rsidRPr="00D96B47" w:rsidRDefault="00F25862" w:rsidP="00F25862">
      <w:pPr>
        <w:jc w:val="center"/>
        <w:rPr>
          <w:rFonts w:ascii="Georgia" w:eastAsia="Georgia" w:hAnsi="Georgia" w:cs="Georgia"/>
        </w:rPr>
      </w:pPr>
      <w:r>
        <w:rPr>
          <w:rFonts w:ascii="Georgia" w:eastAsia="Georgia" w:hAnsi="Georgia" w:cs="Georgia"/>
          <w:b/>
        </w:rPr>
        <w:t xml:space="preserve">Mega </w:t>
      </w:r>
      <w:proofErr w:type="spellStart"/>
      <w:r>
        <w:rPr>
          <w:rFonts w:ascii="Georgia" w:eastAsia="Georgia" w:hAnsi="Georgia" w:cs="Georgia"/>
          <w:b/>
        </w:rPr>
        <w:t>Hapsari</w:t>
      </w:r>
      <w:proofErr w:type="spellEnd"/>
    </w:p>
    <w:p w14:paraId="7E64C9CA" w14:textId="77777777" w:rsidR="00F25862" w:rsidRDefault="00F25862" w:rsidP="00F25862">
      <w:pPr>
        <w:jc w:val="center"/>
        <w:rPr>
          <w:rFonts w:ascii="Georgia" w:eastAsia="Georgia" w:hAnsi="Georgia" w:cs="Georgia"/>
        </w:rPr>
      </w:pPr>
      <w:r>
        <w:rPr>
          <w:rFonts w:ascii="Georgia" w:eastAsia="Georgia" w:hAnsi="Georgia" w:cs="Georgia"/>
          <w:i/>
        </w:rPr>
        <w:t xml:space="preserve">UIN Satu </w:t>
      </w:r>
      <w:proofErr w:type="spellStart"/>
      <w:r>
        <w:rPr>
          <w:rFonts w:ascii="Georgia" w:eastAsia="Georgia" w:hAnsi="Georgia" w:cs="Georgia"/>
          <w:i/>
        </w:rPr>
        <w:t>Tulungangung</w:t>
      </w:r>
      <w:proofErr w:type="spellEnd"/>
    </w:p>
    <w:p w14:paraId="7B9E54FF" w14:textId="77777777" w:rsidR="00F25862" w:rsidRDefault="00F25862" w:rsidP="00F25862">
      <w:pPr>
        <w:jc w:val="center"/>
        <w:rPr>
          <w:rFonts w:ascii="Georgia" w:eastAsia="Georgia" w:hAnsi="Georgia" w:cs="Georgia"/>
        </w:rPr>
      </w:pPr>
      <w:r>
        <w:rPr>
          <w:rFonts w:ascii="Georgia" w:eastAsia="Georgia" w:hAnsi="Georgia" w:cs="Georgia"/>
        </w:rPr>
        <w:t xml:space="preserve">Email: </w:t>
      </w:r>
      <w:hyperlink r:id="rId7" w:history="1">
        <w:r w:rsidRPr="0025698A">
          <w:rPr>
            <w:rStyle w:val="Hyperlink"/>
            <w:rFonts w:ascii="Georgia" w:hAnsi="Georgia"/>
          </w:rPr>
          <w:t>megahapsari@uinsatu.ac.id</w:t>
        </w:r>
      </w:hyperlink>
      <w:r w:rsidRPr="0025698A">
        <w:rPr>
          <w:rFonts w:ascii="Georgia" w:hAnsi="Georgia"/>
        </w:rPr>
        <w:t xml:space="preserve"> </w:t>
      </w:r>
    </w:p>
    <w:p w14:paraId="042FBC57" w14:textId="77777777" w:rsidR="00F25862" w:rsidRDefault="00F25862" w:rsidP="00F25862">
      <w:pPr>
        <w:jc w:val="center"/>
        <w:rPr>
          <w:rFonts w:ascii="Georgia" w:eastAsia="Georgia" w:hAnsi="Georgia" w:cs="Georgia"/>
        </w:rPr>
      </w:pPr>
    </w:p>
    <w:p w14:paraId="36591944" w14:textId="77777777" w:rsidR="00F25862" w:rsidRDefault="00F25862" w:rsidP="00F25862">
      <w:pPr>
        <w:jc w:val="center"/>
        <w:rPr>
          <w:rFonts w:ascii="Georgia" w:eastAsia="Georgia" w:hAnsi="Georgia" w:cs="Georgia"/>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F25862" w14:paraId="788587BE" w14:textId="77777777" w:rsidTr="00FA3390">
        <w:tc>
          <w:tcPr>
            <w:tcW w:w="9016" w:type="dxa"/>
          </w:tcPr>
          <w:p w14:paraId="132B205F" w14:textId="77777777" w:rsidR="00F25862" w:rsidRPr="008D0C05" w:rsidRDefault="00F25862" w:rsidP="00FA3390">
            <w:pPr>
              <w:jc w:val="center"/>
              <w:rPr>
                <w:rFonts w:ascii="Georgia" w:eastAsia="Georgia" w:hAnsi="Georgia" w:cs="Georgia"/>
                <w:bCs/>
                <w:sz w:val="18"/>
                <w:szCs w:val="18"/>
              </w:rPr>
            </w:pPr>
            <w:r>
              <w:rPr>
                <w:rFonts w:ascii="Georgia" w:eastAsia="Georgia" w:hAnsi="Georgia" w:cs="Georgia"/>
                <w:b/>
                <w:sz w:val="18"/>
                <w:szCs w:val="18"/>
              </w:rPr>
              <w:t>Corresponding Author</w:t>
            </w:r>
            <w:r>
              <w:rPr>
                <w:rFonts w:ascii="Georgia" w:eastAsia="Georgia" w:hAnsi="Georgia" w:cs="Georgia"/>
                <w:sz w:val="18"/>
                <w:szCs w:val="18"/>
              </w:rPr>
              <w:t xml:space="preserve">: </w:t>
            </w:r>
            <w:proofErr w:type="spellStart"/>
            <w:r w:rsidRPr="008D0C05">
              <w:rPr>
                <w:rFonts w:ascii="Georgia" w:eastAsia="Georgia" w:hAnsi="Georgia" w:cs="Georgia"/>
                <w:bCs/>
                <w:sz w:val="18"/>
                <w:szCs w:val="18"/>
              </w:rPr>
              <w:t>Ainun</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Nafisatur</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Rohmah</w:t>
            </w:r>
            <w:proofErr w:type="spellEnd"/>
          </w:p>
        </w:tc>
      </w:tr>
      <w:tr w:rsidR="00F25862" w14:paraId="28033D3D" w14:textId="77777777" w:rsidTr="00FA3390">
        <w:tc>
          <w:tcPr>
            <w:tcW w:w="9016" w:type="dxa"/>
          </w:tcPr>
          <w:p w14:paraId="35B57CCF" w14:textId="77777777" w:rsidR="00F25862" w:rsidRDefault="00F25862" w:rsidP="00FA3390">
            <w:pPr>
              <w:jc w:val="center"/>
              <w:rPr>
                <w:rFonts w:ascii="Georgia" w:eastAsia="Georgia" w:hAnsi="Georgia" w:cs="Georgia"/>
                <w:sz w:val="18"/>
                <w:szCs w:val="18"/>
              </w:rPr>
            </w:pPr>
            <w:r>
              <w:rPr>
                <w:rFonts w:ascii="Georgia" w:eastAsia="Georgia" w:hAnsi="Georgia" w:cs="Georgia"/>
                <w:b/>
                <w:sz w:val="18"/>
                <w:szCs w:val="18"/>
              </w:rPr>
              <w:t>Article History</w:t>
            </w:r>
            <w:r>
              <w:rPr>
                <w:rFonts w:ascii="Georgia" w:eastAsia="Georgia" w:hAnsi="Georgia" w:cs="Georgia"/>
                <w:sz w:val="18"/>
                <w:szCs w:val="18"/>
              </w:rPr>
              <w:t>: Received September 19, 2023; Received in revised from October 4, 2023:</w:t>
            </w:r>
          </w:p>
          <w:p w14:paraId="0E81E38C" w14:textId="77777777" w:rsidR="00F25862" w:rsidRDefault="00F25862" w:rsidP="00FA3390">
            <w:pPr>
              <w:jc w:val="center"/>
              <w:rPr>
                <w:rFonts w:ascii="Georgia" w:eastAsia="Georgia" w:hAnsi="Georgia" w:cs="Georgia"/>
                <w:sz w:val="18"/>
                <w:szCs w:val="18"/>
              </w:rPr>
            </w:pPr>
            <w:r>
              <w:rPr>
                <w:rFonts w:ascii="Georgia" w:eastAsia="Georgia" w:hAnsi="Georgia" w:cs="Georgia"/>
                <w:sz w:val="18"/>
                <w:szCs w:val="18"/>
              </w:rPr>
              <w:t>Accepted October 29, 2023; Published; October 31, 2023</w:t>
            </w:r>
          </w:p>
        </w:tc>
      </w:tr>
      <w:tr w:rsidR="00F25862" w14:paraId="05C54E86" w14:textId="77777777" w:rsidTr="00FA3390">
        <w:tc>
          <w:tcPr>
            <w:tcW w:w="9016" w:type="dxa"/>
          </w:tcPr>
          <w:p w14:paraId="1F511CA9" w14:textId="77777777" w:rsidR="00F25862" w:rsidRDefault="00F25862" w:rsidP="00FA3390">
            <w:pPr>
              <w:jc w:val="center"/>
              <w:rPr>
                <w:rFonts w:ascii="Georgia" w:eastAsia="Georgia" w:hAnsi="Georgia" w:cs="Georgia"/>
                <w:sz w:val="18"/>
                <w:szCs w:val="18"/>
              </w:rPr>
            </w:pPr>
            <w:r>
              <w:rPr>
                <w:rFonts w:ascii="Georgia" w:eastAsia="Georgia" w:hAnsi="Georgia" w:cs="Georgia"/>
                <w:b/>
                <w:sz w:val="18"/>
                <w:szCs w:val="18"/>
              </w:rPr>
              <w:t>How to Cite this Article</w:t>
            </w:r>
            <w:r>
              <w:rPr>
                <w:rFonts w:ascii="Georgia" w:eastAsia="Georgia" w:hAnsi="Georgia" w:cs="Georgia"/>
                <w:sz w:val="18"/>
                <w:szCs w:val="18"/>
              </w:rPr>
              <w:t xml:space="preserve">: </w:t>
            </w:r>
            <w:proofErr w:type="spellStart"/>
            <w:r w:rsidRPr="008D0C05">
              <w:rPr>
                <w:rFonts w:ascii="Georgia" w:eastAsia="Georgia" w:hAnsi="Georgia" w:cs="Georgia"/>
                <w:bCs/>
                <w:sz w:val="18"/>
                <w:szCs w:val="18"/>
              </w:rPr>
              <w:t>Ainun</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Nafisatur</w:t>
            </w:r>
            <w:proofErr w:type="spellEnd"/>
            <w:r w:rsidRPr="008D0C05">
              <w:rPr>
                <w:rFonts w:ascii="Georgia" w:eastAsia="Georgia" w:hAnsi="Georgia" w:cs="Georgia"/>
                <w:bCs/>
                <w:sz w:val="18"/>
                <w:szCs w:val="18"/>
              </w:rPr>
              <w:t xml:space="preserve"> </w:t>
            </w:r>
            <w:proofErr w:type="spellStart"/>
            <w:r w:rsidRPr="008D0C05">
              <w:rPr>
                <w:rFonts w:ascii="Georgia" w:eastAsia="Georgia" w:hAnsi="Georgia" w:cs="Georgia"/>
                <w:bCs/>
                <w:sz w:val="18"/>
                <w:szCs w:val="18"/>
              </w:rPr>
              <w:t>Rohmah</w:t>
            </w:r>
            <w:proofErr w:type="spellEnd"/>
            <w:r>
              <w:rPr>
                <w:rFonts w:ascii="Georgia" w:eastAsia="Georgia" w:hAnsi="Georgia" w:cs="Georgia"/>
                <w:sz w:val="18"/>
                <w:szCs w:val="18"/>
              </w:rPr>
              <w:t>, et al. 202x. Article Title.</w:t>
            </w:r>
            <w:r>
              <w:rPr>
                <w:rFonts w:ascii="Georgia" w:eastAsia="Georgia" w:hAnsi="Georgia" w:cs="Georgia"/>
                <w:i/>
                <w:sz w:val="18"/>
                <w:szCs w:val="18"/>
              </w:rPr>
              <w:t xml:space="preserve"> </w:t>
            </w:r>
            <w:proofErr w:type="spellStart"/>
            <w:r>
              <w:rPr>
                <w:rFonts w:ascii="Georgia" w:eastAsia="Georgia" w:hAnsi="Georgia" w:cs="Georgia"/>
                <w:i/>
                <w:sz w:val="18"/>
                <w:szCs w:val="18"/>
              </w:rPr>
              <w:t>Turath</w:t>
            </w:r>
            <w:proofErr w:type="spellEnd"/>
            <w:r>
              <w:rPr>
                <w:rFonts w:ascii="Georgia" w:eastAsia="Georgia" w:hAnsi="Georgia" w:cs="Georgia"/>
                <w:i/>
                <w:sz w:val="18"/>
                <w:szCs w:val="18"/>
              </w:rPr>
              <w:t>: Journal of Islamic Economics and Heritage Studies</w:t>
            </w:r>
            <w:r>
              <w:rPr>
                <w:rFonts w:ascii="Georgia" w:eastAsia="Georgia" w:hAnsi="Georgia" w:cs="Georgia"/>
                <w:sz w:val="18"/>
                <w:szCs w:val="18"/>
              </w:rPr>
              <w:t xml:space="preserve">. xx, x (Oct. 202x), xxx–xxx. </w:t>
            </w:r>
            <w:proofErr w:type="spellStart"/>
            <w:proofErr w:type="gramStart"/>
            <w:r>
              <w:rPr>
                <w:rFonts w:ascii="Georgia" w:eastAsia="Georgia" w:hAnsi="Georgia" w:cs="Georgia"/>
                <w:sz w:val="18"/>
                <w:szCs w:val="18"/>
              </w:rPr>
              <w:t>DOI:https</w:t>
            </w:r>
            <w:proofErr w:type="spellEnd"/>
            <w:r>
              <w:rPr>
                <w:rFonts w:ascii="Georgia" w:eastAsia="Georgia" w:hAnsi="Georgia" w:cs="Georgia"/>
                <w:sz w:val="18"/>
                <w:szCs w:val="18"/>
              </w:rPr>
              <w:t>://doi.org/10.15642/turath.202x.xx.x.xxx-xxx</w:t>
            </w:r>
            <w:proofErr w:type="gramEnd"/>
            <w:r>
              <w:rPr>
                <w:rFonts w:ascii="Georgia" w:eastAsia="Georgia" w:hAnsi="Georgia" w:cs="Georgia"/>
                <w:sz w:val="18"/>
                <w:szCs w:val="18"/>
              </w:rPr>
              <w:t>.</w:t>
            </w:r>
          </w:p>
        </w:tc>
      </w:tr>
    </w:tbl>
    <w:p w14:paraId="7D6216F5" w14:textId="77777777" w:rsidR="00F25862" w:rsidRDefault="00F25862" w:rsidP="00F25862">
      <w:pPr>
        <w:jc w:val="center"/>
        <w:rPr>
          <w:rFonts w:ascii="Georgia" w:eastAsia="Georgia" w:hAnsi="Georgia" w:cs="Georgia"/>
        </w:rPr>
      </w:pPr>
    </w:p>
    <w:p w14:paraId="3717C29F" w14:textId="77777777" w:rsidR="00F25862" w:rsidRPr="00600782" w:rsidRDefault="00F25862" w:rsidP="00F25862">
      <w:pPr>
        <w:ind w:right="25"/>
        <w:jc w:val="both"/>
        <w:rPr>
          <w:rFonts w:ascii="Garamond" w:eastAsia="Garamond" w:hAnsi="Garamond" w:cs="Garamond"/>
          <w:sz w:val="22"/>
          <w:szCs w:val="22"/>
        </w:rPr>
      </w:pPr>
      <w:r>
        <w:rPr>
          <w:rFonts w:ascii="Garamond" w:eastAsia="Garamond" w:hAnsi="Garamond" w:cs="Garamond"/>
          <w:b/>
        </w:rPr>
        <w:t>Abstract</w:t>
      </w:r>
      <w:r>
        <w:rPr>
          <w:rFonts w:ascii="Garamond" w:eastAsia="Garamond" w:hAnsi="Garamond" w:cs="Garamond"/>
        </w:rPr>
        <w:t xml:space="preserve">: </w:t>
      </w:r>
      <w:r w:rsidRPr="00600782">
        <w:rPr>
          <w:rStyle w:val="selectable-text"/>
          <w:rFonts w:ascii="Garamond" w:hAnsi="Garamond"/>
          <w:sz w:val="22"/>
          <w:szCs w:val="22"/>
        </w:rPr>
        <w:t xml:space="preserve">The </w:t>
      </w:r>
      <w:proofErr w:type="spellStart"/>
      <w:r w:rsidRPr="00600782">
        <w:rPr>
          <w:rStyle w:val="selectable-text"/>
          <w:rFonts w:ascii="Garamond" w:hAnsi="Garamond"/>
          <w:sz w:val="22"/>
          <w:szCs w:val="22"/>
        </w:rPr>
        <w:t>Pekarangan</w:t>
      </w:r>
      <w:proofErr w:type="spellEnd"/>
      <w:r w:rsidRPr="00600782">
        <w:rPr>
          <w:rStyle w:val="selectable-text"/>
          <w:rFonts w:ascii="Garamond" w:hAnsi="Garamond"/>
          <w:sz w:val="22"/>
          <w:szCs w:val="22"/>
        </w:rPr>
        <w:t xml:space="preserve"> </w:t>
      </w:r>
      <w:proofErr w:type="spellStart"/>
      <w:r w:rsidRPr="00600782">
        <w:rPr>
          <w:rStyle w:val="selectable-text"/>
          <w:rFonts w:ascii="Garamond" w:hAnsi="Garamond"/>
          <w:sz w:val="22"/>
          <w:szCs w:val="22"/>
        </w:rPr>
        <w:t>Pangan</w:t>
      </w:r>
      <w:proofErr w:type="spellEnd"/>
      <w:r w:rsidRPr="00600782">
        <w:rPr>
          <w:rStyle w:val="selectable-text"/>
          <w:rFonts w:ascii="Garamond" w:hAnsi="Garamond"/>
          <w:sz w:val="22"/>
          <w:szCs w:val="22"/>
        </w:rPr>
        <w:t xml:space="preserve"> Lestari (P2L) Program aims to increase the accessibility, availability, and utilization of household food, as well as to increase household income and prevent hunger and stunting in children. </w:t>
      </w:r>
      <w:proofErr w:type="spellStart"/>
      <w:r w:rsidRPr="00600782">
        <w:rPr>
          <w:rStyle w:val="selectable-text"/>
          <w:rFonts w:ascii="Garamond" w:hAnsi="Garamond"/>
          <w:sz w:val="22"/>
          <w:szCs w:val="22"/>
        </w:rPr>
        <w:t>Tulungagung</w:t>
      </w:r>
      <w:proofErr w:type="spellEnd"/>
      <w:r w:rsidRPr="00600782">
        <w:rPr>
          <w:rStyle w:val="selectable-text"/>
          <w:rFonts w:ascii="Garamond" w:hAnsi="Garamond"/>
          <w:sz w:val="22"/>
          <w:szCs w:val="22"/>
        </w:rPr>
        <w:t xml:space="preserve"> Regency places the agricultural sector as the leading sector so that the P2L Program is given special attention and seeks to accelerate national food security achievements. A snowball sampling strategy is used in this study's qualitative descriptive methodology to select informants. The strategy model uses the SWOT matrix through Internal Factor Analysis Summary and External Factor Analysis Summary. The data collection process was obtained from observations, interviews, and documents. Data validity is determined through triangulation of sources and methods. The SWOT matrix results in a total IFAS score of 1.15 and a total EFAS score of 0.85 which places the position in Quadrant I, namely growth strategy. The resulting recommendations are: 1) strengthening farmer group institutions, 2) evaluating the implementation of the P2L program, and 3) strengthening cooperation networks using the quadruple helix model</w:t>
      </w:r>
      <w:r w:rsidRPr="00600782">
        <w:rPr>
          <w:rFonts w:ascii="Garamond" w:eastAsia="Garamond" w:hAnsi="Garamond" w:cs="Garamond"/>
          <w:sz w:val="22"/>
          <w:szCs w:val="22"/>
        </w:rPr>
        <w:t>.</w:t>
      </w:r>
    </w:p>
    <w:p w14:paraId="25920CEE" w14:textId="77777777" w:rsidR="00F25862" w:rsidRPr="000C2032" w:rsidRDefault="00F25862" w:rsidP="00F25862">
      <w:pPr>
        <w:ind w:right="25"/>
        <w:jc w:val="both"/>
        <w:rPr>
          <w:rFonts w:ascii="Garamond" w:eastAsia="Georgia" w:hAnsi="Garamond" w:cs="Georgia"/>
        </w:rPr>
      </w:pPr>
      <w:r w:rsidRPr="00600782">
        <w:rPr>
          <w:rFonts w:ascii="Garamond" w:eastAsia="Garamond" w:hAnsi="Garamond" w:cs="Garamond"/>
          <w:b/>
          <w:sz w:val="22"/>
          <w:szCs w:val="22"/>
        </w:rPr>
        <w:t xml:space="preserve">Keywords: </w:t>
      </w:r>
      <w:r w:rsidRPr="00600782">
        <w:rPr>
          <w:rStyle w:val="selectable-text"/>
          <w:rFonts w:ascii="Garamond" w:hAnsi="Garamond"/>
          <w:b/>
          <w:bCs/>
          <w:sz w:val="22"/>
          <w:szCs w:val="22"/>
        </w:rPr>
        <w:t xml:space="preserve">Food Security; </w:t>
      </w:r>
      <w:proofErr w:type="spellStart"/>
      <w:r w:rsidRPr="00600782">
        <w:rPr>
          <w:rStyle w:val="selectable-text"/>
          <w:rFonts w:ascii="Garamond" w:hAnsi="Garamond"/>
          <w:b/>
          <w:bCs/>
          <w:sz w:val="22"/>
          <w:szCs w:val="22"/>
        </w:rPr>
        <w:t>Pekarangan</w:t>
      </w:r>
      <w:proofErr w:type="spellEnd"/>
      <w:r w:rsidRPr="00600782">
        <w:rPr>
          <w:rStyle w:val="selectable-text"/>
          <w:rFonts w:ascii="Garamond" w:hAnsi="Garamond"/>
          <w:b/>
          <w:bCs/>
          <w:sz w:val="22"/>
          <w:szCs w:val="22"/>
        </w:rPr>
        <w:t xml:space="preserve"> </w:t>
      </w:r>
      <w:proofErr w:type="spellStart"/>
      <w:r w:rsidRPr="00600782">
        <w:rPr>
          <w:rStyle w:val="selectable-text"/>
          <w:rFonts w:ascii="Garamond" w:hAnsi="Garamond"/>
          <w:b/>
          <w:bCs/>
          <w:sz w:val="22"/>
          <w:szCs w:val="22"/>
        </w:rPr>
        <w:t>Pangan</w:t>
      </w:r>
      <w:proofErr w:type="spellEnd"/>
      <w:r w:rsidRPr="00600782">
        <w:rPr>
          <w:rStyle w:val="selectable-text"/>
          <w:rFonts w:ascii="Garamond" w:hAnsi="Garamond"/>
          <w:b/>
          <w:bCs/>
          <w:sz w:val="22"/>
          <w:szCs w:val="22"/>
        </w:rPr>
        <w:t xml:space="preserve"> Lestari (P2L); SWOT Analysis</w:t>
      </w:r>
      <w:r w:rsidRPr="000C2032">
        <w:rPr>
          <w:rFonts w:ascii="Garamond" w:eastAsia="Garamond" w:hAnsi="Garamond" w:cs="Garamond"/>
          <w:b/>
          <w:sz w:val="22"/>
          <w:szCs w:val="22"/>
          <w:lang w:val="id-ID"/>
        </w:rPr>
        <w:t>.</w:t>
      </w:r>
    </w:p>
    <w:p w14:paraId="6F06BEA8" w14:textId="77777777" w:rsidR="00F25862" w:rsidRDefault="00F25862" w:rsidP="00F25862">
      <w:pPr>
        <w:jc w:val="both"/>
        <w:rPr>
          <w:rFonts w:ascii="Georgia" w:eastAsia="Georgia" w:hAnsi="Georgia" w:cs="Georgia"/>
        </w:rPr>
      </w:pPr>
    </w:p>
    <w:p w14:paraId="70CD15B6" w14:textId="77777777" w:rsidR="00F25862" w:rsidRDefault="00F25862" w:rsidP="00F25862">
      <w:pPr>
        <w:spacing w:after="160" w:line="259" w:lineRule="auto"/>
        <w:rPr>
          <w:rFonts w:ascii="Georgia" w:eastAsia="Georgia" w:hAnsi="Georgia" w:cs="Georgia"/>
          <w:b/>
        </w:rPr>
      </w:pPr>
      <w:r>
        <w:br w:type="page"/>
      </w:r>
    </w:p>
    <w:p w14:paraId="06C6C980" w14:textId="77777777" w:rsidR="00F25862" w:rsidRDefault="00F25862" w:rsidP="00F25862">
      <w:pPr>
        <w:rPr>
          <w:rFonts w:ascii="Georgia" w:eastAsia="Georgia" w:hAnsi="Georgia" w:cs="Georgia"/>
        </w:rPr>
      </w:pPr>
      <w:r>
        <w:rPr>
          <w:rFonts w:ascii="Georgia" w:eastAsia="Georgia" w:hAnsi="Georgia" w:cs="Georgia"/>
          <w:b/>
        </w:rPr>
        <w:lastRenderedPageBreak/>
        <w:t>Introduction</w:t>
      </w:r>
    </w:p>
    <w:p w14:paraId="132CFA03" w14:textId="77777777" w:rsidR="00F25862" w:rsidRDefault="00F25862" w:rsidP="00F25862">
      <w:pPr>
        <w:spacing w:line="276" w:lineRule="auto"/>
        <w:ind w:firstLine="709"/>
        <w:jc w:val="both"/>
        <w:rPr>
          <w:rFonts w:ascii="Georgia" w:eastAsia="Georgia" w:hAnsi="Georgia" w:cs="Georgia"/>
          <w:lang w:val="id-ID"/>
        </w:rPr>
      </w:pPr>
      <w:r w:rsidRPr="005002D7">
        <w:rPr>
          <w:rFonts w:ascii="Georgia" w:eastAsia="Calibri" w:hAnsi="Georgia" w:cs="Arial"/>
          <w:color w:val="auto"/>
          <w:lang w:val="en-ID" w:eastAsia="en-US"/>
        </w:rPr>
        <w:t xml:space="preserve">Global food security is currently facing increasingly complex challenges. Fast population expansion, climate change, uneven food distribution are the root causes of these problems. According to the Food and Agriculture Organization (2023) more than 820 million people worldwide still suffer from food insecurity, the majority of whom are in developing countries. Climate change exacerbates this problem by disrupting agricultural production in many regions, ultimately leading to unstable food prices and poor access for vulnerable groups (Smith et al., 2022). In addition, conflict and political instability also worsen food security, especially in directly affected regions such as sub-Saharan Africa (Jones et al., 2021). To overcome this problem, solutions are needed such as developing agricultural systems that are more resilient to climate change, improving food distribution through technological innovation, and policies that support fair and equitable access to food for all (Brown et al., 2023 and </w:t>
      </w:r>
      <w:proofErr w:type="spellStart"/>
      <w:r w:rsidRPr="005002D7">
        <w:rPr>
          <w:rFonts w:ascii="Georgia" w:eastAsia="Calibri" w:hAnsi="Georgia" w:cs="Arial"/>
          <w:color w:val="auto"/>
          <w:lang w:val="en-ID" w:eastAsia="en-US"/>
        </w:rPr>
        <w:t>Charty</w:t>
      </w:r>
      <w:proofErr w:type="spellEnd"/>
      <w:r w:rsidRPr="005002D7">
        <w:rPr>
          <w:rFonts w:ascii="Georgia" w:eastAsia="Calibri" w:hAnsi="Georgia" w:cs="Arial"/>
          <w:color w:val="auto"/>
          <w:lang w:val="en-ID" w:eastAsia="en-US"/>
        </w:rPr>
        <w:t xml:space="preserve"> et al., 2018)</w:t>
      </w:r>
      <w:r w:rsidRPr="008708F7">
        <w:rPr>
          <w:rFonts w:ascii="Georgia" w:eastAsia="Georgia" w:hAnsi="Georgia" w:cs="Georgia"/>
          <w:lang w:val="id-ID"/>
        </w:rPr>
        <w:t>.</w:t>
      </w:r>
    </w:p>
    <w:p w14:paraId="3F7FF5A5"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Data released by the Central Statistics Agency in 2023, Indonesia is a country with a population of 278 million people, so it is ranked fourth in the country with the largest population. This large population is directly proportional to the increase in food consumption as depicted in the 2023 food consumption graph. The following is a table of food group consumption developments in Indonesia in 2023:</w:t>
      </w:r>
    </w:p>
    <w:p w14:paraId="2AFF8965"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p>
    <w:p w14:paraId="2846A1FD" w14:textId="77777777" w:rsidR="00F25862" w:rsidRPr="005002D7" w:rsidRDefault="00F25862" w:rsidP="00F25862">
      <w:pPr>
        <w:spacing w:after="160" w:line="276" w:lineRule="auto"/>
        <w:jc w:val="center"/>
        <w:rPr>
          <w:rFonts w:ascii="Georgia" w:eastAsia="Calibri" w:hAnsi="Georgia" w:cs="Arial"/>
          <w:color w:val="auto"/>
          <w:lang w:val="en-ID" w:eastAsia="en-US"/>
        </w:rPr>
      </w:pPr>
      <w:r w:rsidRPr="005002D7">
        <w:rPr>
          <w:rFonts w:ascii="Georgia" w:eastAsia="Calibri" w:hAnsi="Georgia" w:cs="Arial"/>
          <w:color w:val="auto"/>
          <w:lang w:val="en-ID" w:eastAsia="en-US"/>
        </w:rPr>
        <w:t>Table 1</w:t>
      </w:r>
      <w:r w:rsidRPr="00EE1A62">
        <w:rPr>
          <w:rFonts w:ascii="Georgia" w:eastAsia="Calibri" w:hAnsi="Georgia" w:cs="Arial"/>
          <w:color w:val="auto"/>
          <w:lang w:val="en-ID" w:eastAsia="en-US"/>
        </w:rPr>
        <w:t>.</w:t>
      </w:r>
      <w:r w:rsidRPr="005002D7">
        <w:rPr>
          <w:rFonts w:ascii="Georgia" w:eastAsia="Calibri" w:hAnsi="Georgia" w:cs="Arial"/>
          <w:color w:val="auto"/>
          <w:lang w:val="en-ID" w:eastAsia="en-US"/>
        </w:rPr>
        <w:t xml:space="preserve"> Development of Food Group Consumption in 2019-2023 per Capita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288"/>
        <w:gridCol w:w="1288"/>
        <w:gridCol w:w="1288"/>
        <w:gridCol w:w="1288"/>
        <w:gridCol w:w="1288"/>
      </w:tblGrid>
      <w:tr w:rsidR="00F25862" w:rsidRPr="00AF23E6" w14:paraId="18AFA4F0" w14:textId="77777777" w:rsidTr="00FA3390">
        <w:trPr>
          <w:jc w:val="center"/>
        </w:trPr>
        <w:tc>
          <w:tcPr>
            <w:tcW w:w="2286" w:type="dxa"/>
            <w:shd w:val="clear" w:color="auto" w:fill="auto"/>
          </w:tcPr>
          <w:p w14:paraId="38C12686"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Consumption</w:t>
            </w:r>
          </w:p>
        </w:tc>
        <w:tc>
          <w:tcPr>
            <w:tcW w:w="1288" w:type="dxa"/>
            <w:shd w:val="clear" w:color="auto" w:fill="auto"/>
          </w:tcPr>
          <w:p w14:paraId="64EFC4AF"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2019</w:t>
            </w:r>
          </w:p>
        </w:tc>
        <w:tc>
          <w:tcPr>
            <w:tcW w:w="1288" w:type="dxa"/>
            <w:shd w:val="clear" w:color="auto" w:fill="auto"/>
          </w:tcPr>
          <w:p w14:paraId="5D595DE4"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2020</w:t>
            </w:r>
          </w:p>
        </w:tc>
        <w:tc>
          <w:tcPr>
            <w:tcW w:w="1288" w:type="dxa"/>
            <w:shd w:val="clear" w:color="auto" w:fill="auto"/>
          </w:tcPr>
          <w:p w14:paraId="4873D862"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2021</w:t>
            </w:r>
          </w:p>
        </w:tc>
        <w:tc>
          <w:tcPr>
            <w:tcW w:w="1288" w:type="dxa"/>
            <w:shd w:val="clear" w:color="auto" w:fill="auto"/>
          </w:tcPr>
          <w:p w14:paraId="1F40F84D"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2022</w:t>
            </w:r>
          </w:p>
        </w:tc>
        <w:tc>
          <w:tcPr>
            <w:tcW w:w="1288" w:type="dxa"/>
            <w:shd w:val="clear" w:color="auto" w:fill="auto"/>
          </w:tcPr>
          <w:p w14:paraId="1A826D81"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2023</w:t>
            </w:r>
          </w:p>
        </w:tc>
      </w:tr>
      <w:tr w:rsidR="00F25862" w:rsidRPr="00AF23E6" w14:paraId="4092AEDA" w14:textId="77777777" w:rsidTr="00FA3390">
        <w:trPr>
          <w:jc w:val="center"/>
        </w:trPr>
        <w:tc>
          <w:tcPr>
            <w:tcW w:w="2286" w:type="dxa"/>
            <w:shd w:val="clear" w:color="auto" w:fill="auto"/>
          </w:tcPr>
          <w:p w14:paraId="25575212"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Paddy</w:t>
            </w:r>
          </w:p>
        </w:tc>
        <w:tc>
          <w:tcPr>
            <w:tcW w:w="1288" w:type="dxa"/>
            <w:shd w:val="clear" w:color="auto" w:fill="auto"/>
          </w:tcPr>
          <w:p w14:paraId="21F44FF0"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54,604</w:t>
            </w:r>
          </w:p>
        </w:tc>
        <w:tc>
          <w:tcPr>
            <w:tcW w:w="1288" w:type="dxa"/>
            <w:shd w:val="clear" w:color="auto" w:fill="auto"/>
          </w:tcPr>
          <w:p w14:paraId="34AB6408"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54,694</w:t>
            </w:r>
          </w:p>
        </w:tc>
        <w:tc>
          <w:tcPr>
            <w:tcW w:w="1288" w:type="dxa"/>
            <w:shd w:val="clear" w:color="auto" w:fill="auto"/>
          </w:tcPr>
          <w:p w14:paraId="2E296970"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54,415</w:t>
            </w:r>
          </w:p>
        </w:tc>
        <w:tc>
          <w:tcPr>
            <w:tcW w:w="1288" w:type="dxa"/>
            <w:shd w:val="clear" w:color="auto" w:fill="auto"/>
          </w:tcPr>
          <w:p w14:paraId="05BEC210"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54,749</w:t>
            </w:r>
          </w:p>
        </w:tc>
        <w:tc>
          <w:tcPr>
            <w:tcW w:w="1288" w:type="dxa"/>
            <w:shd w:val="clear" w:color="auto" w:fill="auto"/>
          </w:tcPr>
          <w:p w14:paraId="02278129"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53,626</w:t>
            </w:r>
          </w:p>
        </w:tc>
      </w:tr>
      <w:tr w:rsidR="00F25862" w:rsidRPr="00AF23E6" w14:paraId="22BFD72B" w14:textId="77777777" w:rsidTr="00FA3390">
        <w:trPr>
          <w:jc w:val="center"/>
        </w:trPr>
        <w:tc>
          <w:tcPr>
            <w:tcW w:w="2286" w:type="dxa"/>
            <w:shd w:val="clear" w:color="auto" w:fill="auto"/>
          </w:tcPr>
          <w:p w14:paraId="564ABA70"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Tubers</w:t>
            </w:r>
          </w:p>
        </w:tc>
        <w:tc>
          <w:tcPr>
            <w:tcW w:w="1288" w:type="dxa"/>
            <w:shd w:val="clear" w:color="auto" w:fill="auto"/>
          </w:tcPr>
          <w:p w14:paraId="0BDF31FC"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1.504</w:t>
            </w:r>
          </w:p>
        </w:tc>
        <w:tc>
          <w:tcPr>
            <w:tcW w:w="1288" w:type="dxa"/>
            <w:shd w:val="clear" w:color="auto" w:fill="auto"/>
          </w:tcPr>
          <w:p w14:paraId="0C8D351E"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1.615</w:t>
            </w:r>
          </w:p>
        </w:tc>
        <w:tc>
          <w:tcPr>
            <w:tcW w:w="1288" w:type="dxa"/>
            <w:shd w:val="clear" w:color="auto" w:fill="auto"/>
          </w:tcPr>
          <w:p w14:paraId="203B6597"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1.533</w:t>
            </w:r>
          </w:p>
        </w:tc>
        <w:tc>
          <w:tcPr>
            <w:tcW w:w="1288" w:type="dxa"/>
            <w:shd w:val="clear" w:color="auto" w:fill="auto"/>
          </w:tcPr>
          <w:p w14:paraId="21B51358"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1.979</w:t>
            </w:r>
          </w:p>
        </w:tc>
        <w:tc>
          <w:tcPr>
            <w:tcW w:w="1288" w:type="dxa"/>
            <w:shd w:val="clear" w:color="auto" w:fill="auto"/>
          </w:tcPr>
          <w:p w14:paraId="3AB3E75E"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1.679</w:t>
            </w:r>
          </w:p>
        </w:tc>
      </w:tr>
      <w:tr w:rsidR="00F25862" w:rsidRPr="00AF23E6" w14:paraId="77A4A3F3" w14:textId="77777777" w:rsidTr="00FA3390">
        <w:trPr>
          <w:jc w:val="center"/>
        </w:trPr>
        <w:tc>
          <w:tcPr>
            <w:tcW w:w="2286" w:type="dxa"/>
            <w:shd w:val="clear" w:color="auto" w:fill="auto"/>
          </w:tcPr>
          <w:p w14:paraId="34AE542E"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Oil</w:t>
            </w:r>
          </w:p>
        </w:tc>
        <w:tc>
          <w:tcPr>
            <w:tcW w:w="1288" w:type="dxa"/>
            <w:shd w:val="clear" w:color="auto" w:fill="auto"/>
          </w:tcPr>
          <w:p w14:paraId="1EE02E19"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10.757</w:t>
            </w:r>
          </w:p>
        </w:tc>
        <w:tc>
          <w:tcPr>
            <w:tcW w:w="1288" w:type="dxa"/>
            <w:shd w:val="clear" w:color="auto" w:fill="auto"/>
          </w:tcPr>
          <w:p w14:paraId="19553034"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10.658</w:t>
            </w:r>
          </w:p>
        </w:tc>
        <w:tc>
          <w:tcPr>
            <w:tcW w:w="1288" w:type="dxa"/>
            <w:shd w:val="clear" w:color="auto" w:fill="auto"/>
          </w:tcPr>
          <w:p w14:paraId="7426FA6D"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10.701</w:t>
            </w:r>
          </w:p>
        </w:tc>
        <w:tc>
          <w:tcPr>
            <w:tcW w:w="1288" w:type="dxa"/>
            <w:shd w:val="clear" w:color="auto" w:fill="auto"/>
          </w:tcPr>
          <w:p w14:paraId="16622900"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11.384</w:t>
            </w:r>
          </w:p>
        </w:tc>
        <w:tc>
          <w:tcPr>
            <w:tcW w:w="1288" w:type="dxa"/>
            <w:shd w:val="clear" w:color="auto" w:fill="auto"/>
          </w:tcPr>
          <w:p w14:paraId="4ECBB326"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10.836</w:t>
            </w:r>
          </w:p>
        </w:tc>
      </w:tr>
      <w:tr w:rsidR="00F25862" w:rsidRPr="00AF23E6" w14:paraId="2B409A56" w14:textId="77777777" w:rsidTr="00FA3390">
        <w:trPr>
          <w:jc w:val="center"/>
        </w:trPr>
        <w:tc>
          <w:tcPr>
            <w:tcW w:w="2286" w:type="dxa"/>
            <w:shd w:val="clear" w:color="auto" w:fill="auto"/>
          </w:tcPr>
          <w:p w14:paraId="023297BE"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Nuts</w:t>
            </w:r>
          </w:p>
        </w:tc>
        <w:tc>
          <w:tcPr>
            <w:tcW w:w="1288" w:type="dxa"/>
            <w:shd w:val="clear" w:color="auto" w:fill="auto"/>
          </w:tcPr>
          <w:p w14:paraId="69F40E3E"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8.182</w:t>
            </w:r>
          </w:p>
        </w:tc>
        <w:tc>
          <w:tcPr>
            <w:tcW w:w="1288" w:type="dxa"/>
            <w:shd w:val="clear" w:color="auto" w:fill="auto"/>
          </w:tcPr>
          <w:p w14:paraId="52D33F89"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8.159</w:t>
            </w:r>
          </w:p>
        </w:tc>
        <w:tc>
          <w:tcPr>
            <w:tcW w:w="1288" w:type="dxa"/>
            <w:shd w:val="clear" w:color="auto" w:fill="auto"/>
          </w:tcPr>
          <w:p w14:paraId="0D39418A"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8.514</w:t>
            </w:r>
          </w:p>
        </w:tc>
        <w:tc>
          <w:tcPr>
            <w:tcW w:w="1288" w:type="dxa"/>
            <w:shd w:val="clear" w:color="auto" w:fill="auto"/>
          </w:tcPr>
          <w:p w14:paraId="68940BA5"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8.208</w:t>
            </w:r>
          </w:p>
        </w:tc>
        <w:tc>
          <w:tcPr>
            <w:tcW w:w="1288" w:type="dxa"/>
            <w:shd w:val="clear" w:color="auto" w:fill="auto"/>
          </w:tcPr>
          <w:p w14:paraId="128FA1D8"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8.388</w:t>
            </w:r>
          </w:p>
        </w:tc>
      </w:tr>
      <w:tr w:rsidR="00F25862" w:rsidRPr="00AF23E6" w14:paraId="1EA74192" w14:textId="77777777" w:rsidTr="00FA3390">
        <w:trPr>
          <w:jc w:val="center"/>
        </w:trPr>
        <w:tc>
          <w:tcPr>
            <w:tcW w:w="2286" w:type="dxa"/>
            <w:shd w:val="clear" w:color="auto" w:fill="auto"/>
          </w:tcPr>
          <w:p w14:paraId="686D97ED"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Sugar</w:t>
            </w:r>
          </w:p>
        </w:tc>
        <w:tc>
          <w:tcPr>
            <w:tcW w:w="1288" w:type="dxa"/>
            <w:shd w:val="clear" w:color="auto" w:fill="auto"/>
          </w:tcPr>
          <w:p w14:paraId="4F6A5243"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6.634</w:t>
            </w:r>
          </w:p>
        </w:tc>
        <w:tc>
          <w:tcPr>
            <w:tcW w:w="1288" w:type="dxa"/>
            <w:shd w:val="clear" w:color="auto" w:fill="auto"/>
          </w:tcPr>
          <w:p w14:paraId="3CE2B526"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6.539</w:t>
            </w:r>
          </w:p>
        </w:tc>
        <w:tc>
          <w:tcPr>
            <w:tcW w:w="1288" w:type="dxa"/>
            <w:shd w:val="clear" w:color="auto" w:fill="auto"/>
          </w:tcPr>
          <w:p w14:paraId="604C405B"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6.677</w:t>
            </w:r>
          </w:p>
        </w:tc>
        <w:tc>
          <w:tcPr>
            <w:tcW w:w="1288" w:type="dxa"/>
            <w:shd w:val="clear" w:color="auto" w:fill="auto"/>
          </w:tcPr>
          <w:p w14:paraId="684DBCD2"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6.139</w:t>
            </w:r>
          </w:p>
        </w:tc>
        <w:tc>
          <w:tcPr>
            <w:tcW w:w="1288" w:type="dxa"/>
            <w:shd w:val="clear" w:color="auto" w:fill="auto"/>
          </w:tcPr>
          <w:p w14:paraId="0951B55C"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5.797</w:t>
            </w:r>
          </w:p>
        </w:tc>
      </w:tr>
      <w:tr w:rsidR="00F25862" w:rsidRPr="00AF23E6" w14:paraId="20C53461" w14:textId="77777777" w:rsidTr="00FA3390">
        <w:trPr>
          <w:jc w:val="center"/>
        </w:trPr>
        <w:tc>
          <w:tcPr>
            <w:tcW w:w="2286" w:type="dxa"/>
            <w:shd w:val="clear" w:color="auto" w:fill="auto"/>
          </w:tcPr>
          <w:p w14:paraId="118B4BE5" w14:textId="77777777" w:rsidR="00F25862" w:rsidRPr="00AF23E6" w:rsidRDefault="00F25862" w:rsidP="00FA3390">
            <w:pPr>
              <w:spacing w:line="276" w:lineRule="auto"/>
              <w:rPr>
                <w:rFonts w:ascii="Book Antiqua" w:eastAsia="Calibri" w:hAnsi="Book Antiqua" w:cs="Arial"/>
                <w:color w:val="auto"/>
                <w:sz w:val="22"/>
                <w:szCs w:val="22"/>
                <w:lang w:val="en-ID" w:eastAsia="en-US"/>
              </w:rPr>
            </w:pPr>
            <w:r w:rsidRPr="00AF23E6">
              <w:rPr>
                <w:rFonts w:ascii="Book Antiqua" w:hAnsi="Book Antiqua" w:cs="Arial"/>
                <w:color w:val="auto"/>
                <w:sz w:val="22"/>
                <w:szCs w:val="22"/>
                <w:lang w:eastAsia="en-US"/>
              </w:rPr>
              <w:t>Vegetables and Fruit</w:t>
            </w:r>
          </w:p>
        </w:tc>
        <w:tc>
          <w:tcPr>
            <w:tcW w:w="1288" w:type="dxa"/>
            <w:shd w:val="clear" w:color="auto" w:fill="auto"/>
          </w:tcPr>
          <w:p w14:paraId="27EB391B"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23,65</w:t>
            </w:r>
          </w:p>
        </w:tc>
        <w:tc>
          <w:tcPr>
            <w:tcW w:w="1288" w:type="dxa"/>
            <w:shd w:val="clear" w:color="auto" w:fill="auto"/>
          </w:tcPr>
          <w:p w14:paraId="05FA7B08"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24,19</w:t>
            </w:r>
          </w:p>
        </w:tc>
        <w:tc>
          <w:tcPr>
            <w:tcW w:w="1288" w:type="dxa"/>
            <w:shd w:val="clear" w:color="auto" w:fill="auto"/>
          </w:tcPr>
          <w:p w14:paraId="754E9A8D"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25,21</w:t>
            </w:r>
          </w:p>
        </w:tc>
        <w:tc>
          <w:tcPr>
            <w:tcW w:w="1288" w:type="dxa"/>
            <w:shd w:val="clear" w:color="auto" w:fill="auto"/>
          </w:tcPr>
          <w:p w14:paraId="638BF959"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24,48</w:t>
            </w:r>
          </w:p>
        </w:tc>
        <w:tc>
          <w:tcPr>
            <w:tcW w:w="1288" w:type="dxa"/>
            <w:shd w:val="clear" w:color="auto" w:fill="auto"/>
          </w:tcPr>
          <w:p w14:paraId="0BE9BB5A"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24,33</w:t>
            </w:r>
          </w:p>
        </w:tc>
      </w:tr>
    </w:tbl>
    <w:p w14:paraId="4877280F" w14:textId="77777777" w:rsidR="00F25862" w:rsidRPr="009A04B9" w:rsidRDefault="00F25862" w:rsidP="00F25862">
      <w:pPr>
        <w:spacing w:after="160" w:line="276" w:lineRule="auto"/>
        <w:jc w:val="both"/>
        <w:rPr>
          <w:rFonts w:ascii="Georgia" w:eastAsia="Calibri" w:hAnsi="Georgia" w:cs="Arial"/>
          <w:color w:val="auto"/>
          <w:sz w:val="20"/>
          <w:szCs w:val="20"/>
          <w:lang w:val="en-ID" w:eastAsia="en-US"/>
        </w:rPr>
      </w:pPr>
      <w:r w:rsidRPr="009A04B9">
        <w:rPr>
          <w:rFonts w:ascii="Georgia" w:eastAsia="Calibri" w:hAnsi="Georgia" w:cs="Arial"/>
          <w:color w:val="auto"/>
          <w:sz w:val="20"/>
          <w:szCs w:val="20"/>
          <w:lang w:val="en-ID" w:eastAsia="en-US"/>
        </w:rPr>
        <w:t xml:space="preserve">Source: </w:t>
      </w:r>
      <w:proofErr w:type="spellStart"/>
      <w:r w:rsidRPr="009A04B9">
        <w:rPr>
          <w:rFonts w:ascii="Georgia" w:eastAsia="Calibri" w:hAnsi="Georgia" w:cs="Arial"/>
          <w:color w:val="auto"/>
          <w:sz w:val="20"/>
          <w:szCs w:val="20"/>
          <w:lang w:val="en-ID" w:eastAsia="en-US"/>
        </w:rPr>
        <w:t>Center</w:t>
      </w:r>
      <w:proofErr w:type="spellEnd"/>
      <w:r w:rsidRPr="009A04B9">
        <w:rPr>
          <w:rFonts w:ascii="Georgia" w:eastAsia="Calibri" w:hAnsi="Georgia" w:cs="Arial"/>
          <w:color w:val="auto"/>
          <w:sz w:val="20"/>
          <w:szCs w:val="20"/>
          <w:lang w:val="en-ID" w:eastAsia="en-US"/>
        </w:rPr>
        <w:t xml:space="preserve"> for Agricultural Data and Information Systems, Secretariat General, Ministry of Agriculture (2023)</w:t>
      </w:r>
    </w:p>
    <w:p w14:paraId="1E48917B" w14:textId="77777777" w:rsidR="00F25862" w:rsidRPr="008708F7" w:rsidRDefault="00F25862" w:rsidP="00F25862">
      <w:pPr>
        <w:spacing w:line="276" w:lineRule="auto"/>
        <w:ind w:firstLine="709"/>
        <w:jc w:val="both"/>
        <w:rPr>
          <w:rFonts w:ascii="Georgia" w:eastAsia="Georgia" w:hAnsi="Georgia" w:cs="Georgia"/>
          <w:lang w:val="id-ID"/>
        </w:rPr>
      </w:pPr>
      <w:r w:rsidRPr="005002D7">
        <w:rPr>
          <w:rFonts w:ascii="Georgia" w:eastAsia="Calibri" w:hAnsi="Georgia" w:cs="Arial"/>
          <w:color w:val="auto"/>
          <w:lang w:val="en-ID" w:eastAsia="en-US"/>
        </w:rPr>
        <w:t>Based on this table, in general it shows that the consumption level of Indonesian people in the period 2019 to 2023 has increased. Thus, to able to achieve food security, the Indonesian government must work to maximize the sector's use in agriculture, which plays a crucial strategic role in bolstering the country's economy and, in particular, in achieving food security</w:t>
      </w:r>
      <w:r w:rsidRPr="008708F7">
        <w:rPr>
          <w:rFonts w:ascii="Georgia" w:eastAsia="Georgia" w:hAnsi="Georgia" w:cs="Georgia"/>
          <w:lang w:val="id-ID"/>
        </w:rPr>
        <w:t>.</w:t>
      </w:r>
    </w:p>
    <w:p w14:paraId="6101E0D7" w14:textId="77777777" w:rsidR="00F25862" w:rsidRPr="008708F7" w:rsidRDefault="00F25862" w:rsidP="00F25862">
      <w:pPr>
        <w:spacing w:line="276" w:lineRule="auto"/>
        <w:ind w:firstLine="709"/>
        <w:jc w:val="both"/>
        <w:rPr>
          <w:rFonts w:ascii="Georgia" w:eastAsia="Georgia" w:hAnsi="Georgia" w:cs="Georgia"/>
        </w:rPr>
      </w:pPr>
      <w:r w:rsidRPr="005002D7">
        <w:rPr>
          <w:rFonts w:ascii="Georgia" w:eastAsia="Calibri" w:hAnsi="Georgia" w:cs="Arial"/>
          <w:color w:val="auto"/>
          <w:lang w:val="en-ID" w:eastAsia="en-US"/>
        </w:rPr>
        <w:t>The agricultural sector has an important role in realizing food security because of the large agricultural potential in Indonesia. The Ministry of Agriculture's Strategic Plan (2020–2024: 17–20) states that the country's high population, vast agricultural land, rich biodiversity, and innovative and technological advancements produced by numerous Agricultural Research and Development Agencies, universities, and other research institutions all contribute to Indonesia's great agricultural potential</w:t>
      </w:r>
      <w:r w:rsidRPr="008708F7">
        <w:rPr>
          <w:rFonts w:ascii="Georgia" w:eastAsia="Georgia" w:hAnsi="Georgia" w:cs="Georgia"/>
        </w:rPr>
        <w:t>.</w:t>
      </w:r>
    </w:p>
    <w:p w14:paraId="201B8B0C" w14:textId="77777777" w:rsidR="00F25862" w:rsidRPr="008708F7" w:rsidRDefault="00F25862" w:rsidP="00F25862">
      <w:pPr>
        <w:spacing w:line="276" w:lineRule="auto"/>
        <w:ind w:firstLine="709"/>
        <w:jc w:val="both"/>
        <w:rPr>
          <w:rFonts w:ascii="Georgia" w:eastAsia="Georgia" w:hAnsi="Georgia" w:cs="Georgia"/>
          <w:lang w:val="id-ID"/>
        </w:rPr>
      </w:pPr>
      <w:r w:rsidRPr="005002D7">
        <w:rPr>
          <w:rFonts w:ascii="Georgia" w:eastAsia="Calibri" w:hAnsi="Georgia" w:cs="Arial"/>
          <w:color w:val="auto"/>
          <w:lang w:val="en-ID" w:eastAsia="en-US"/>
        </w:rPr>
        <w:t xml:space="preserve">Apart from having great potential in the agricultural sector, the Ministry of Agriculture's Strategic Plan (2020-2024: 21-35) also states that the development of </w:t>
      </w:r>
      <w:r w:rsidRPr="005002D7">
        <w:rPr>
          <w:rFonts w:ascii="Georgia" w:eastAsia="Calibri" w:hAnsi="Georgia" w:cs="Arial"/>
          <w:color w:val="auto"/>
          <w:lang w:val="en-ID" w:eastAsia="en-US"/>
        </w:rPr>
        <w:lastRenderedPageBreak/>
        <w:t xml:space="preserve">the agricultural sector also has several problems. The first of these problems is efforts to </w:t>
      </w:r>
      <w:proofErr w:type="spellStart"/>
      <w:r w:rsidRPr="005002D7">
        <w:rPr>
          <w:rFonts w:ascii="Georgia" w:eastAsia="Calibri" w:hAnsi="Georgia" w:cs="Arial"/>
          <w:color w:val="auto"/>
          <w:lang w:val="en-ID" w:eastAsia="en-US"/>
        </w:rPr>
        <w:t>fulfill</w:t>
      </w:r>
      <w:proofErr w:type="spellEnd"/>
      <w:r w:rsidRPr="005002D7">
        <w:rPr>
          <w:rFonts w:ascii="Georgia" w:eastAsia="Calibri" w:hAnsi="Georgia" w:cs="Arial"/>
          <w:color w:val="auto"/>
          <w:lang w:val="en-ID" w:eastAsia="en-US"/>
        </w:rPr>
        <w:t xml:space="preserve"> food and nutritional adequacy, including the issues of stunting, malnutrition and malnutrition in women of productive age. Second, the status and area of </w:t>
      </w:r>
      <w:r w:rsidRPr="005002D7">
        <w:rPr>
          <w:rFonts w:eastAsia="Calibri"/>
          <w:color w:val="auto"/>
          <w:lang w:val="en-ID" w:eastAsia="en-US"/>
        </w:rPr>
        <w:t>​​</w:t>
      </w:r>
      <w:r w:rsidRPr="005002D7">
        <w:rPr>
          <w:rFonts w:ascii="Georgia" w:eastAsia="Calibri" w:hAnsi="Georgia" w:cs="Arial"/>
          <w:color w:val="auto"/>
          <w:lang w:val="en-ID" w:eastAsia="en-US"/>
        </w:rPr>
        <w:t>land ownership, as is known, the land area decreases every year. Third, the problem of rural poverty is because development has not proceeded fairly and evenly. Based on this, the government implemented a strategy through the "</w:t>
      </w:r>
      <w:bookmarkStart w:id="0" w:name="_Hlk175297006"/>
      <w:proofErr w:type="spellStart"/>
      <w:r w:rsidRPr="005002D7">
        <w:rPr>
          <w:rFonts w:ascii="Georgia" w:eastAsia="Calibri" w:hAnsi="Georgia" w:cs="Arial"/>
          <w:i/>
          <w:iCs/>
          <w:color w:val="auto"/>
          <w:lang w:val="en-ID" w:eastAsia="en-US"/>
        </w:rPr>
        <w:t>Pekarangan</w:t>
      </w:r>
      <w:proofErr w:type="spellEnd"/>
      <w:r w:rsidRPr="005002D7">
        <w:rPr>
          <w:rFonts w:ascii="Georgia" w:eastAsia="Calibri" w:hAnsi="Georgia" w:cs="Arial"/>
          <w:i/>
          <w:iCs/>
          <w:color w:val="auto"/>
          <w:lang w:val="en-ID" w:eastAsia="en-US"/>
        </w:rPr>
        <w:t xml:space="preserve"> </w:t>
      </w:r>
      <w:proofErr w:type="spellStart"/>
      <w:r w:rsidRPr="005002D7">
        <w:rPr>
          <w:rFonts w:ascii="Georgia" w:eastAsia="Calibri" w:hAnsi="Georgia" w:cs="Arial"/>
          <w:i/>
          <w:iCs/>
          <w:color w:val="auto"/>
          <w:lang w:val="en-ID" w:eastAsia="en-US"/>
        </w:rPr>
        <w:t>Pangan</w:t>
      </w:r>
      <w:proofErr w:type="spellEnd"/>
      <w:r w:rsidRPr="005002D7">
        <w:rPr>
          <w:rFonts w:ascii="Georgia" w:eastAsia="Calibri" w:hAnsi="Georgia" w:cs="Arial"/>
          <w:i/>
          <w:iCs/>
          <w:color w:val="auto"/>
          <w:lang w:val="en-ID" w:eastAsia="en-US"/>
        </w:rPr>
        <w:t xml:space="preserve"> Lestari </w:t>
      </w:r>
      <w:bookmarkEnd w:id="0"/>
      <w:r w:rsidRPr="005002D7">
        <w:rPr>
          <w:rFonts w:ascii="Georgia" w:eastAsia="Calibri" w:hAnsi="Georgia" w:cs="Arial"/>
          <w:i/>
          <w:iCs/>
          <w:color w:val="auto"/>
          <w:lang w:val="en-ID" w:eastAsia="en-US"/>
        </w:rPr>
        <w:t>(P2L)”</w:t>
      </w:r>
      <w:r w:rsidRPr="005002D7">
        <w:rPr>
          <w:rFonts w:ascii="Georgia" w:eastAsia="Calibri" w:hAnsi="Georgia" w:cs="Arial"/>
          <w:color w:val="auto"/>
          <w:lang w:val="en-ID" w:eastAsia="en-US"/>
        </w:rPr>
        <w:t xml:space="preserve"> Program. According to the Food Security Agency of the Ministry of Agriculture (2019:1) the </w:t>
      </w:r>
      <w:proofErr w:type="spellStart"/>
      <w:r w:rsidRPr="005002D7">
        <w:rPr>
          <w:rFonts w:ascii="Georgia" w:eastAsia="Calibri" w:hAnsi="Georgia" w:cs="Arial"/>
          <w:i/>
          <w:iCs/>
          <w:color w:val="auto"/>
          <w:lang w:val="en-ID" w:eastAsia="en-US"/>
        </w:rPr>
        <w:t>Pekarangan</w:t>
      </w:r>
      <w:proofErr w:type="spellEnd"/>
      <w:r w:rsidRPr="005002D7">
        <w:rPr>
          <w:rFonts w:ascii="Georgia" w:eastAsia="Calibri" w:hAnsi="Georgia" w:cs="Arial"/>
          <w:i/>
          <w:iCs/>
          <w:color w:val="auto"/>
          <w:lang w:val="en-ID" w:eastAsia="en-US"/>
        </w:rPr>
        <w:t xml:space="preserve"> </w:t>
      </w:r>
      <w:proofErr w:type="spellStart"/>
      <w:r w:rsidRPr="005002D7">
        <w:rPr>
          <w:rFonts w:ascii="Georgia" w:eastAsia="Calibri" w:hAnsi="Georgia" w:cs="Arial"/>
          <w:i/>
          <w:iCs/>
          <w:color w:val="auto"/>
          <w:lang w:val="en-ID" w:eastAsia="en-US"/>
        </w:rPr>
        <w:t>Pangan</w:t>
      </w:r>
      <w:proofErr w:type="spellEnd"/>
      <w:r w:rsidRPr="005002D7">
        <w:rPr>
          <w:rFonts w:ascii="Georgia" w:eastAsia="Calibri" w:hAnsi="Georgia" w:cs="Arial"/>
          <w:i/>
          <w:iCs/>
          <w:color w:val="auto"/>
          <w:lang w:val="en-ID" w:eastAsia="en-US"/>
        </w:rPr>
        <w:t xml:space="preserve"> Lestari</w:t>
      </w:r>
      <w:r w:rsidRPr="005002D7">
        <w:rPr>
          <w:rFonts w:ascii="Georgia" w:eastAsia="Calibri" w:hAnsi="Georgia" w:cs="Arial"/>
          <w:color w:val="auto"/>
          <w:lang w:val="en-ID" w:eastAsia="en-US"/>
        </w:rPr>
        <w:t xml:space="preserve"> (P2L) Program is carried out to support the government in handling priority areas for stunting intervention and priority handling of vulnerable or food insecure areas or stabilizing challenge areas. Idle land, empty land, and unproductive yard land are used in this P2L activity</w:t>
      </w:r>
      <w:r w:rsidRPr="008708F7">
        <w:rPr>
          <w:rFonts w:ascii="Georgia" w:eastAsia="Georgia" w:hAnsi="Georgia" w:cs="Georgia"/>
        </w:rPr>
        <w:t>.</w:t>
      </w:r>
      <w:r w:rsidRPr="008708F7">
        <w:rPr>
          <w:rFonts w:ascii="Georgia" w:eastAsia="Georgia" w:hAnsi="Georgia" w:cs="Georgia"/>
          <w:lang w:val="id-ID"/>
        </w:rPr>
        <w:t xml:space="preserve"> </w:t>
      </w:r>
    </w:p>
    <w:p w14:paraId="5BB21743"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 xml:space="preserve">Some of the implementation of the P2L program in Indonesia have been successful and some have failed. </w:t>
      </w:r>
      <w:proofErr w:type="spellStart"/>
      <w:r w:rsidRPr="005002D7">
        <w:rPr>
          <w:rFonts w:ascii="Georgia" w:eastAsia="Calibri" w:hAnsi="Georgia" w:cs="Arial"/>
          <w:color w:val="auto"/>
          <w:lang w:val="en-ID" w:eastAsia="en-US"/>
        </w:rPr>
        <w:t>Ayuningtyas</w:t>
      </w:r>
      <w:proofErr w:type="spellEnd"/>
      <w:r w:rsidRPr="005002D7">
        <w:rPr>
          <w:rFonts w:ascii="Georgia" w:eastAsia="Calibri" w:hAnsi="Georgia" w:cs="Arial"/>
          <w:color w:val="auto"/>
          <w:lang w:val="en-ID" w:eastAsia="en-US"/>
        </w:rPr>
        <w:t xml:space="preserve"> research results (2019); </w:t>
      </w:r>
      <w:proofErr w:type="spellStart"/>
      <w:r w:rsidRPr="005002D7">
        <w:rPr>
          <w:rFonts w:ascii="Georgia" w:eastAsia="Calibri" w:hAnsi="Georgia" w:cs="Arial"/>
          <w:color w:val="auto"/>
          <w:lang w:val="en-ID" w:eastAsia="en-US"/>
        </w:rPr>
        <w:t>Saputri</w:t>
      </w:r>
      <w:proofErr w:type="spellEnd"/>
      <w:r w:rsidRPr="005002D7">
        <w:rPr>
          <w:rFonts w:ascii="Georgia" w:eastAsia="Calibri" w:hAnsi="Georgia" w:cs="Arial"/>
          <w:color w:val="auto"/>
          <w:lang w:val="en-ID" w:eastAsia="en-US"/>
        </w:rPr>
        <w:t xml:space="preserve">, et al (2021); </w:t>
      </w:r>
      <w:proofErr w:type="spellStart"/>
      <w:r w:rsidRPr="005002D7">
        <w:rPr>
          <w:rFonts w:ascii="Georgia" w:eastAsia="Calibri" w:hAnsi="Georgia" w:cs="Arial"/>
          <w:color w:val="auto"/>
          <w:lang w:val="en-ID" w:eastAsia="en-US"/>
        </w:rPr>
        <w:t>Fauzi</w:t>
      </w:r>
      <w:proofErr w:type="spellEnd"/>
      <w:r w:rsidRPr="005002D7">
        <w:rPr>
          <w:rFonts w:ascii="Georgia" w:eastAsia="Calibri" w:hAnsi="Georgia" w:cs="Arial"/>
          <w:color w:val="auto"/>
          <w:lang w:val="en-ID" w:eastAsia="en-US"/>
        </w:rPr>
        <w:t xml:space="preserve">, et al (2022); and </w:t>
      </w:r>
      <w:proofErr w:type="spellStart"/>
      <w:r w:rsidRPr="005002D7">
        <w:rPr>
          <w:rFonts w:ascii="Georgia" w:eastAsia="Calibri" w:hAnsi="Georgia" w:cs="Arial"/>
          <w:color w:val="auto"/>
          <w:lang w:val="en-ID" w:eastAsia="en-US"/>
        </w:rPr>
        <w:t>Fitrianie</w:t>
      </w:r>
      <w:proofErr w:type="spellEnd"/>
      <w:r w:rsidRPr="005002D7">
        <w:rPr>
          <w:rFonts w:ascii="Georgia" w:eastAsia="Calibri" w:hAnsi="Georgia" w:cs="Arial"/>
          <w:color w:val="auto"/>
          <w:lang w:val="en-ID" w:eastAsia="en-US"/>
        </w:rPr>
        <w:t>, et al (2023) concluded that the P2L program was able to provide a positive impact in various aspects. The first is the economic aspect, the P2L program able to increase vegetable production which has an impact on increasing income, the second is the psychological impact in the form of increasing the skills of farmer group members, the third P2L program triggers awareness of farmer groups to innovate in achieving food security. Of course, this impact cannot be separated from the role of various actors such as the Agriculture and Food Security Service, Subdistrict or Village Authorities, Agricultural Extension Agency, and Farmer Groups. Target accuracy, program socialization, mentoring, and risk management are the road map for achieving the success goals of the P2L program.</w:t>
      </w:r>
    </w:p>
    <w:p w14:paraId="5A333F41"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 xml:space="preserve">However, on the other hand, the research results of </w:t>
      </w:r>
      <w:proofErr w:type="spellStart"/>
      <w:r w:rsidRPr="005002D7">
        <w:rPr>
          <w:rFonts w:ascii="Georgia" w:eastAsia="Calibri" w:hAnsi="Georgia" w:cs="Arial"/>
          <w:color w:val="auto"/>
          <w:lang w:val="en-ID" w:eastAsia="en-US"/>
        </w:rPr>
        <w:t>Sulaiman</w:t>
      </w:r>
      <w:proofErr w:type="spellEnd"/>
      <w:r w:rsidRPr="005002D7">
        <w:rPr>
          <w:rFonts w:ascii="Georgia" w:eastAsia="Calibri" w:hAnsi="Georgia" w:cs="Arial"/>
          <w:color w:val="auto"/>
          <w:lang w:val="en-ID" w:eastAsia="en-US"/>
        </w:rPr>
        <w:t xml:space="preserve">, et al. (2019); Tama and </w:t>
      </w:r>
      <w:proofErr w:type="spellStart"/>
      <w:r w:rsidRPr="005002D7">
        <w:rPr>
          <w:rFonts w:ascii="Georgia" w:eastAsia="Calibri" w:hAnsi="Georgia" w:cs="Arial"/>
          <w:color w:val="auto"/>
          <w:lang w:val="en-ID" w:eastAsia="en-US"/>
        </w:rPr>
        <w:t>Priyanti</w:t>
      </w:r>
      <w:proofErr w:type="spellEnd"/>
      <w:r w:rsidRPr="005002D7">
        <w:rPr>
          <w:rFonts w:ascii="Georgia" w:eastAsia="Calibri" w:hAnsi="Georgia" w:cs="Arial"/>
          <w:color w:val="auto"/>
          <w:lang w:val="en-ID" w:eastAsia="en-US"/>
        </w:rPr>
        <w:t xml:space="preserve"> (2021) show that the results of the P2L program in Bogor Regency and Karawang Regency are still far from expectations. The study found that poor program execution, low member yard performance for </w:t>
      </w:r>
      <w:proofErr w:type="spellStart"/>
      <w:r w:rsidRPr="005002D7">
        <w:rPr>
          <w:rFonts w:ascii="Georgia" w:eastAsia="Calibri" w:hAnsi="Georgia" w:cs="Arial"/>
          <w:color w:val="auto"/>
          <w:lang w:val="en-ID" w:eastAsia="en-US"/>
        </w:rPr>
        <w:t>Rumah</w:t>
      </w:r>
      <w:proofErr w:type="spellEnd"/>
      <w:r w:rsidRPr="005002D7">
        <w:rPr>
          <w:rFonts w:ascii="Georgia" w:eastAsia="Calibri" w:hAnsi="Georgia" w:cs="Arial"/>
          <w:color w:val="auto"/>
          <w:lang w:val="en-ID" w:eastAsia="en-US"/>
        </w:rPr>
        <w:t xml:space="preserve"> </w:t>
      </w:r>
      <w:proofErr w:type="spellStart"/>
      <w:r w:rsidRPr="005002D7">
        <w:rPr>
          <w:rFonts w:ascii="Georgia" w:eastAsia="Calibri" w:hAnsi="Georgia" w:cs="Arial"/>
          <w:color w:val="auto"/>
          <w:lang w:val="en-ID" w:eastAsia="en-US"/>
        </w:rPr>
        <w:t>Pangan</w:t>
      </w:r>
      <w:proofErr w:type="spellEnd"/>
      <w:r w:rsidRPr="005002D7">
        <w:rPr>
          <w:rFonts w:ascii="Georgia" w:eastAsia="Calibri" w:hAnsi="Georgia" w:cs="Arial"/>
          <w:color w:val="auto"/>
          <w:lang w:val="en-ID" w:eastAsia="en-US"/>
        </w:rPr>
        <w:t xml:space="preserve"> Lestari, difficulties managing the nursery due to its inability to continue, and issues with land renting were the main causes of the P2L program's failure. </w:t>
      </w:r>
    </w:p>
    <w:p w14:paraId="7B0E7940"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 xml:space="preserve">Due to the potential of the agricultural industry that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owns, the region is one of those attempting to promote food security. Drawing from the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Regency's 2018–2023 Regional Medium-Term Development Plan, agriculture is the main sector in economic development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where the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area is an agricultural area so it is suitable for placing the agricultural sector as a leading sector. Therefore, the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government, through the Food Security Service, is implementing the P2L Program.</w:t>
      </w:r>
    </w:p>
    <w:p w14:paraId="754E87E1" w14:textId="77777777" w:rsidR="00F25862" w:rsidRPr="008708F7" w:rsidRDefault="00F25862" w:rsidP="00F25862">
      <w:pPr>
        <w:spacing w:line="276" w:lineRule="auto"/>
        <w:ind w:firstLine="709"/>
        <w:jc w:val="both"/>
        <w:rPr>
          <w:rFonts w:ascii="Georgia" w:eastAsia="Georgia" w:hAnsi="Georgia" w:cs="Georgia"/>
          <w:lang w:val="id-ID"/>
        </w:rPr>
      </w:pPr>
      <w:r w:rsidRPr="005002D7">
        <w:rPr>
          <w:rFonts w:ascii="Georgia" w:eastAsia="Calibri" w:hAnsi="Georgia" w:cs="Arial"/>
          <w:color w:val="auto"/>
          <w:lang w:val="en-ID" w:eastAsia="en-US"/>
        </w:rPr>
        <w:t xml:space="preserve">The P2L program implemented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is also a form of renewal of the previous program, namely the Sustainable Food House Area.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is believed to be one of the beneficiary districts of the P2L program in the first year this program was launched because it saw the track record of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which has been selected as a beneficiary of the sustainable food house area and state budget programs for six consecutive years, namely in the period 2013 to 2019</w:t>
      </w:r>
      <w:r w:rsidRPr="008708F7">
        <w:rPr>
          <w:rFonts w:ascii="Georgia" w:eastAsia="Georgia" w:hAnsi="Georgia" w:cs="Georgia"/>
          <w:lang w:val="id-ID"/>
        </w:rPr>
        <w:t>.</w:t>
      </w:r>
    </w:p>
    <w:p w14:paraId="60BFB7D9" w14:textId="77777777" w:rsidR="00F25862" w:rsidRPr="005002D7" w:rsidRDefault="00F25862" w:rsidP="00F25862">
      <w:pPr>
        <w:spacing w:line="276" w:lineRule="auto"/>
        <w:ind w:left="-1"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lastRenderedPageBreak/>
        <w:t xml:space="preserve">The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P2L program in 2020 is sourced from the state budget and regional budget II. For </w:t>
      </w:r>
      <w:r w:rsidRPr="005002D7">
        <w:rPr>
          <w:rFonts w:ascii="Georgia" w:eastAsia="Calibri" w:hAnsi="Georgia" w:cs="Arial"/>
          <w:color w:val="auto"/>
          <w:lang w:val="en" w:eastAsia="en-US"/>
        </w:rPr>
        <w:t>state budget</w:t>
      </w:r>
      <w:r w:rsidRPr="005002D7">
        <w:rPr>
          <w:rFonts w:ascii="Georgia" w:eastAsia="Calibri" w:hAnsi="Georgia" w:cs="Arial"/>
          <w:color w:val="auto"/>
          <w:lang w:val="en-ID" w:eastAsia="en-US"/>
        </w:rPr>
        <w:t xml:space="preserve"> funds, the number of beneficiaries of the P2L program from growth and development activities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consists of seven villages. The following is a list of groups of beneficiaries of 2020 P2L </w:t>
      </w:r>
      <w:r w:rsidRPr="005002D7">
        <w:rPr>
          <w:rFonts w:ascii="Georgia" w:eastAsia="Calibri" w:hAnsi="Georgia" w:cs="Arial"/>
          <w:color w:val="auto"/>
          <w:lang w:val="en" w:eastAsia="en-US"/>
        </w:rPr>
        <w:t>state budget</w:t>
      </w:r>
      <w:r w:rsidRPr="005002D7">
        <w:rPr>
          <w:rFonts w:ascii="Georgia" w:eastAsia="Calibri" w:hAnsi="Georgia" w:cs="Arial"/>
          <w:color w:val="auto"/>
          <w:lang w:val="en-ID" w:eastAsia="en-US"/>
        </w:rPr>
        <w:t xml:space="preserve"> funds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w:t>
      </w:r>
    </w:p>
    <w:p w14:paraId="35FCFC70"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p>
    <w:p w14:paraId="456D3126" w14:textId="77777777" w:rsidR="00F25862" w:rsidRPr="005002D7" w:rsidRDefault="00F25862" w:rsidP="00F25862">
      <w:pPr>
        <w:spacing w:after="160" w:line="276" w:lineRule="auto"/>
        <w:ind w:left="-1" w:firstLine="720"/>
        <w:jc w:val="center"/>
        <w:rPr>
          <w:rFonts w:ascii="Georgia" w:eastAsia="Calibri" w:hAnsi="Georgia" w:cs="Arial"/>
          <w:color w:val="auto"/>
          <w:lang w:val="en-ID" w:eastAsia="en-US"/>
        </w:rPr>
      </w:pPr>
      <w:r w:rsidRPr="005002D7">
        <w:rPr>
          <w:rFonts w:ascii="Georgia" w:eastAsia="Calibri" w:hAnsi="Georgia" w:cs="Arial"/>
          <w:color w:val="auto"/>
          <w:lang w:val="en-ID" w:eastAsia="en-US"/>
        </w:rPr>
        <w:t>Table 2</w:t>
      </w:r>
      <w:r w:rsidRPr="00EE1A62">
        <w:rPr>
          <w:rFonts w:ascii="Georgia" w:eastAsia="Calibri" w:hAnsi="Georgia" w:cs="Arial"/>
          <w:color w:val="auto"/>
          <w:lang w:val="en-ID" w:eastAsia="en-US"/>
        </w:rPr>
        <w:t>.</w:t>
      </w:r>
      <w:r w:rsidRPr="005002D7">
        <w:rPr>
          <w:rFonts w:ascii="Georgia" w:eastAsia="Calibri" w:hAnsi="Georgia" w:cs="Arial"/>
          <w:color w:val="auto"/>
          <w:lang w:val="en-ID" w:eastAsia="en-US"/>
        </w:rPr>
        <w:t xml:space="preserve"> List of 2020 P2L Beneficiary Groups from </w:t>
      </w:r>
      <w:r w:rsidRPr="005002D7">
        <w:rPr>
          <w:rFonts w:ascii="Georgia" w:eastAsia="Calibri" w:hAnsi="Georgia" w:cs="Arial"/>
          <w:color w:val="auto"/>
          <w:lang w:val="en" w:eastAsia="en-US"/>
        </w:rPr>
        <w:t>State Budget</w:t>
      </w:r>
      <w:r w:rsidRPr="005002D7">
        <w:rPr>
          <w:rFonts w:ascii="Georgia" w:eastAsia="Calibri" w:hAnsi="Georgia" w:cs="Arial"/>
          <w:color w:val="auto"/>
          <w:lang w:val="en-ID" w:eastAsia="en-US"/>
        </w:rPr>
        <w:t xml:space="preserve"> Funds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94"/>
        <w:gridCol w:w="2344"/>
        <w:gridCol w:w="1752"/>
        <w:gridCol w:w="1911"/>
      </w:tblGrid>
      <w:tr w:rsidR="00F25862" w:rsidRPr="00AF23E6" w14:paraId="11995A41" w14:textId="77777777" w:rsidTr="00FA3390">
        <w:tc>
          <w:tcPr>
            <w:tcW w:w="603" w:type="dxa"/>
            <w:shd w:val="clear" w:color="auto" w:fill="auto"/>
          </w:tcPr>
          <w:p w14:paraId="09035E31"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No.</w:t>
            </w:r>
          </w:p>
        </w:tc>
        <w:tc>
          <w:tcPr>
            <w:tcW w:w="2394" w:type="dxa"/>
            <w:shd w:val="clear" w:color="auto" w:fill="auto"/>
          </w:tcPr>
          <w:p w14:paraId="61413A0B"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Group Name</w:t>
            </w:r>
          </w:p>
        </w:tc>
        <w:tc>
          <w:tcPr>
            <w:tcW w:w="2344" w:type="dxa"/>
            <w:shd w:val="clear" w:color="auto" w:fill="auto"/>
          </w:tcPr>
          <w:p w14:paraId="1E5C9356"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Village/Subdistrict</w:t>
            </w:r>
          </w:p>
          <w:p w14:paraId="608D0DD3"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p>
        </w:tc>
        <w:tc>
          <w:tcPr>
            <w:tcW w:w="1752" w:type="dxa"/>
            <w:shd w:val="clear" w:color="auto" w:fill="auto"/>
          </w:tcPr>
          <w:p w14:paraId="1E5851B7"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Subdistrict</w:t>
            </w:r>
          </w:p>
          <w:p w14:paraId="3D4388D6"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p>
        </w:tc>
        <w:tc>
          <w:tcPr>
            <w:tcW w:w="1911" w:type="dxa"/>
            <w:shd w:val="clear" w:color="auto" w:fill="auto"/>
          </w:tcPr>
          <w:p w14:paraId="62E54BC9" w14:textId="77777777" w:rsidR="00F25862" w:rsidRPr="00AF23E6" w:rsidRDefault="00F25862" w:rsidP="00FA3390">
            <w:pPr>
              <w:spacing w:line="276" w:lineRule="auto"/>
              <w:jc w:val="center"/>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P2L Activity Stage</w:t>
            </w:r>
          </w:p>
        </w:tc>
      </w:tr>
      <w:tr w:rsidR="00F25862" w:rsidRPr="00AF23E6" w14:paraId="52F32D84" w14:textId="77777777" w:rsidTr="00FA3390">
        <w:tc>
          <w:tcPr>
            <w:tcW w:w="603" w:type="dxa"/>
            <w:shd w:val="clear" w:color="auto" w:fill="auto"/>
          </w:tcPr>
          <w:p w14:paraId="4328293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1.</w:t>
            </w:r>
          </w:p>
        </w:tc>
        <w:tc>
          <w:tcPr>
            <w:tcW w:w="2394" w:type="dxa"/>
            <w:shd w:val="clear" w:color="auto" w:fill="auto"/>
          </w:tcPr>
          <w:p w14:paraId="76C2B06B"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 xml:space="preserve">KWT </w:t>
            </w:r>
            <w:proofErr w:type="spellStart"/>
            <w:r w:rsidRPr="00AF23E6">
              <w:rPr>
                <w:rFonts w:ascii="Book Antiqua" w:eastAsia="Calibri" w:hAnsi="Book Antiqua" w:cs="Arial"/>
                <w:color w:val="auto"/>
                <w:sz w:val="22"/>
                <w:szCs w:val="22"/>
                <w:lang w:val="en-ID" w:eastAsia="en-US"/>
              </w:rPr>
              <w:t>Sikandi</w:t>
            </w:r>
            <w:proofErr w:type="spellEnd"/>
          </w:p>
        </w:tc>
        <w:tc>
          <w:tcPr>
            <w:tcW w:w="2344" w:type="dxa"/>
            <w:shd w:val="clear" w:color="auto" w:fill="auto"/>
          </w:tcPr>
          <w:p w14:paraId="25F6FFF8"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Kepuhrejo</w:t>
            </w:r>
            <w:proofErr w:type="spellEnd"/>
          </w:p>
        </w:tc>
        <w:tc>
          <w:tcPr>
            <w:tcW w:w="1752" w:type="dxa"/>
            <w:shd w:val="clear" w:color="auto" w:fill="auto"/>
          </w:tcPr>
          <w:p w14:paraId="0FC693C1"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Ngantru</w:t>
            </w:r>
            <w:proofErr w:type="spellEnd"/>
          </w:p>
        </w:tc>
        <w:tc>
          <w:tcPr>
            <w:tcW w:w="1911" w:type="dxa"/>
            <w:shd w:val="clear" w:color="auto" w:fill="auto"/>
          </w:tcPr>
          <w:p w14:paraId="501F119A"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Growth</w:t>
            </w:r>
          </w:p>
        </w:tc>
      </w:tr>
      <w:tr w:rsidR="00F25862" w:rsidRPr="00AF23E6" w14:paraId="14049C7E" w14:textId="77777777" w:rsidTr="00FA3390">
        <w:tc>
          <w:tcPr>
            <w:tcW w:w="603" w:type="dxa"/>
            <w:shd w:val="clear" w:color="auto" w:fill="auto"/>
          </w:tcPr>
          <w:p w14:paraId="5626025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2.</w:t>
            </w:r>
          </w:p>
        </w:tc>
        <w:tc>
          <w:tcPr>
            <w:tcW w:w="2394" w:type="dxa"/>
            <w:shd w:val="clear" w:color="auto" w:fill="auto"/>
          </w:tcPr>
          <w:p w14:paraId="0B35625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 xml:space="preserve">KWT </w:t>
            </w:r>
            <w:proofErr w:type="spellStart"/>
            <w:r w:rsidRPr="00AF23E6">
              <w:rPr>
                <w:rFonts w:ascii="Book Antiqua" w:eastAsia="Calibri" w:hAnsi="Book Antiqua" w:cs="Arial"/>
                <w:color w:val="auto"/>
                <w:sz w:val="22"/>
                <w:szCs w:val="22"/>
                <w:lang w:val="en-ID" w:eastAsia="en-US"/>
              </w:rPr>
              <w:t>Winong</w:t>
            </w:r>
            <w:proofErr w:type="spellEnd"/>
            <w:r w:rsidRPr="00AF23E6">
              <w:rPr>
                <w:rFonts w:ascii="Book Antiqua" w:eastAsia="Calibri" w:hAnsi="Book Antiqua" w:cs="Arial"/>
                <w:color w:val="auto"/>
                <w:sz w:val="22"/>
                <w:szCs w:val="22"/>
                <w:lang w:val="en-ID" w:eastAsia="en-US"/>
              </w:rPr>
              <w:t xml:space="preserve"> Asri</w:t>
            </w:r>
          </w:p>
        </w:tc>
        <w:tc>
          <w:tcPr>
            <w:tcW w:w="2344" w:type="dxa"/>
            <w:shd w:val="clear" w:color="auto" w:fill="auto"/>
          </w:tcPr>
          <w:p w14:paraId="1A0B1C38"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Winong</w:t>
            </w:r>
            <w:proofErr w:type="spellEnd"/>
          </w:p>
        </w:tc>
        <w:tc>
          <w:tcPr>
            <w:tcW w:w="1752" w:type="dxa"/>
            <w:shd w:val="clear" w:color="auto" w:fill="auto"/>
          </w:tcPr>
          <w:p w14:paraId="37465E0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Kedungwaru</w:t>
            </w:r>
            <w:proofErr w:type="spellEnd"/>
          </w:p>
        </w:tc>
        <w:tc>
          <w:tcPr>
            <w:tcW w:w="1911" w:type="dxa"/>
            <w:shd w:val="clear" w:color="auto" w:fill="auto"/>
          </w:tcPr>
          <w:p w14:paraId="2192B3B3"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Growth</w:t>
            </w:r>
          </w:p>
        </w:tc>
      </w:tr>
      <w:tr w:rsidR="00F25862" w:rsidRPr="00AF23E6" w14:paraId="4B78C8BD" w14:textId="77777777" w:rsidTr="00FA3390">
        <w:tc>
          <w:tcPr>
            <w:tcW w:w="603" w:type="dxa"/>
            <w:shd w:val="clear" w:color="auto" w:fill="auto"/>
          </w:tcPr>
          <w:p w14:paraId="0FF445A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3.</w:t>
            </w:r>
          </w:p>
        </w:tc>
        <w:tc>
          <w:tcPr>
            <w:tcW w:w="2394" w:type="dxa"/>
            <w:shd w:val="clear" w:color="auto" w:fill="auto"/>
          </w:tcPr>
          <w:p w14:paraId="29219E4B"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 xml:space="preserve">KWT </w:t>
            </w:r>
            <w:proofErr w:type="spellStart"/>
            <w:r w:rsidRPr="00AF23E6">
              <w:rPr>
                <w:rFonts w:ascii="Book Antiqua" w:eastAsia="Calibri" w:hAnsi="Book Antiqua" w:cs="Arial"/>
                <w:color w:val="auto"/>
                <w:sz w:val="22"/>
                <w:szCs w:val="22"/>
                <w:lang w:val="en-ID" w:eastAsia="en-US"/>
              </w:rPr>
              <w:t>Sumber</w:t>
            </w:r>
            <w:proofErr w:type="spellEnd"/>
            <w:r w:rsidRPr="00AF23E6">
              <w:rPr>
                <w:rFonts w:ascii="Book Antiqua" w:eastAsia="Calibri" w:hAnsi="Book Antiqua" w:cs="Arial"/>
                <w:color w:val="auto"/>
                <w:sz w:val="22"/>
                <w:szCs w:val="22"/>
                <w:lang w:val="en-ID" w:eastAsia="en-US"/>
              </w:rPr>
              <w:t xml:space="preserve"> Makmur</w:t>
            </w:r>
          </w:p>
        </w:tc>
        <w:tc>
          <w:tcPr>
            <w:tcW w:w="2344" w:type="dxa"/>
            <w:shd w:val="clear" w:color="auto" w:fill="auto"/>
          </w:tcPr>
          <w:p w14:paraId="09C26FAD"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Sobontoro</w:t>
            </w:r>
            <w:proofErr w:type="spellEnd"/>
          </w:p>
        </w:tc>
        <w:tc>
          <w:tcPr>
            <w:tcW w:w="1752" w:type="dxa"/>
            <w:shd w:val="clear" w:color="auto" w:fill="auto"/>
          </w:tcPr>
          <w:p w14:paraId="0342FDD1"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Boyolangu</w:t>
            </w:r>
            <w:proofErr w:type="spellEnd"/>
          </w:p>
        </w:tc>
        <w:tc>
          <w:tcPr>
            <w:tcW w:w="1911" w:type="dxa"/>
            <w:shd w:val="clear" w:color="auto" w:fill="auto"/>
          </w:tcPr>
          <w:p w14:paraId="3C0FF6B8"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Growth</w:t>
            </w:r>
          </w:p>
        </w:tc>
      </w:tr>
      <w:tr w:rsidR="00F25862" w:rsidRPr="00AF23E6" w14:paraId="49575C01" w14:textId="77777777" w:rsidTr="00FA3390">
        <w:tc>
          <w:tcPr>
            <w:tcW w:w="603" w:type="dxa"/>
            <w:shd w:val="clear" w:color="auto" w:fill="auto"/>
          </w:tcPr>
          <w:p w14:paraId="73B9C79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4.</w:t>
            </w:r>
          </w:p>
        </w:tc>
        <w:tc>
          <w:tcPr>
            <w:tcW w:w="2394" w:type="dxa"/>
            <w:shd w:val="clear" w:color="auto" w:fill="auto"/>
          </w:tcPr>
          <w:p w14:paraId="392B9A6B"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 xml:space="preserve">KWT </w:t>
            </w:r>
            <w:proofErr w:type="spellStart"/>
            <w:r w:rsidRPr="00AF23E6">
              <w:rPr>
                <w:rFonts w:ascii="Book Antiqua" w:eastAsia="Calibri" w:hAnsi="Book Antiqua" w:cs="Arial"/>
                <w:color w:val="auto"/>
                <w:sz w:val="22"/>
                <w:szCs w:val="22"/>
                <w:lang w:val="en-ID" w:eastAsia="en-US"/>
              </w:rPr>
              <w:t>Mugi</w:t>
            </w:r>
            <w:proofErr w:type="spellEnd"/>
            <w:r w:rsidRPr="00AF23E6">
              <w:rPr>
                <w:rFonts w:ascii="Book Antiqua" w:eastAsia="Calibri" w:hAnsi="Book Antiqua" w:cs="Arial"/>
                <w:color w:val="auto"/>
                <w:sz w:val="22"/>
                <w:szCs w:val="22"/>
                <w:lang w:val="en-ID" w:eastAsia="en-US"/>
              </w:rPr>
              <w:t xml:space="preserve"> Lestari</w:t>
            </w:r>
          </w:p>
        </w:tc>
        <w:tc>
          <w:tcPr>
            <w:tcW w:w="2344" w:type="dxa"/>
            <w:shd w:val="clear" w:color="auto" w:fill="auto"/>
          </w:tcPr>
          <w:p w14:paraId="58CFC054"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Serut</w:t>
            </w:r>
          </w:p>
        </w:tc>
        <w:tc>
          <w:tcPr>
            <w:tcW w:w="1752" w:type="dxa"/>
            <w:shd w:val="clear" w:color="auto" w:fill="auto"/>
          </w:tcPr>
          <w:p w14:paraId="35123EF7"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Boyolangu</w:t>
            </w:r>
            <w:proofErr w:type="spellEnd"/>
            <w:r w:rsidRPr="00AF23E6">
              <w:rPr>
                <w:rFonts w:ascii="Book Antiqua" w:eastAsia="Calibri" w:hAnsi="Book Antiqua" w:cs="Arial"/>
                <w:color w:val="auto"/>
                <w:sz w:val="22"/>
                <w:szCs w:val="22"/>
                <w:lang w:val="en-ID" w:eastAsia="en-US"/>
              </w:rPr>
              <w:t xml:space="preserve"> </w:t>
            </w:r>
          </w:p>
        </w:tc>
        <w:tc>
          <w:tcPr>
            <w:tcW w:w="1911" w:type="dxa"/>
            <w:shd w:val="clear" w:color="auto" w:fill="auto"/>
          </w:tcPr>
          <w:p w14:paraId="18066B84"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Growth</w:t>
            </w:r>
          </w:p>
        </w:tc>
      </w:tr>
      <w:tr w:rsidR="00F25862" w:rsidRPr="00AF23E6" w14:paraId="0AAE003C" w14:textId="77777777" w:rsidTr="00FA3390">
        <w:tc>
          <w:tcPr>
            <w:tcW w:w="603" w:type="dxa"/>
            <w:shd w:val="clear" w:color="auto" w:fill="auto"/>
          </w:tcPr>
          <w:p w14:paraId="37715CEB"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5.</w:t>
            </w:r>
          </w:p>
        </w:tc>
        <w:tc>
          <w:tcPr>
            <w:tcW w:w="2394" w:type="dxa"/>
            <w:shd w:val="clear" w:color="auto" w:fill="auto"/>
          </w:tcPr>
          <w:p w14:paraId="130672F3"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KWT Surya Wisma</w:t>
            </w:r>
          </w:p>
        </w:tc>
        <w:tc>
          <w:tcPr>
            <w:tcW w:w="2344" w:type="dxa"/>
            <w:shd w:val="clear" w:color="auto" w:fill="auto"/>
          </w:tcPr>
          <w:p w14:paraId="79748401"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Jarakan</w:t>
            </w:r>
            <w:proofErr w:type="spellEnd"/>
          </w:p>
        </w:tc>
        <w:tc>
          <w:tcPr>
            <w:tcW w:w="1752" w:type="dxa"/>
            <w:shd w:val="clear" w:color="auto" w:fill="auto"/>
          </w:tcPr>
          <w:p w14:paraId="05F90F41"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Gondang</w:t>
            </w:r>
            <w:proofErr w:type="spellEnd"/>
          </w:p>
        </w:tc>
        <w:tc>
          <w:tcPr>
            <w:tcW w:w="1911" w:type="dxa"/>
            <w:shd w:val="clear" w:color="auto" w:fill="auto"/>
          </w:tcPr>
          <w:p w14:paraId="3ECAF1E0"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Development</w:t>
            </w:r>
          </w:p>
        </w:tc>
      </w:tr>
      <w:tr w:rsidR="00F25862" w:rsidRPr="00AF23E6" w14:paraId="4AC205E2" w14:textId="77777777" w:rsidTr="00FA3390">
        <w:tc>
          <w:tcPr>
            <w:tcW w:w="603" w:type="dxa"/>
            <w:shd w:val="clear" w:color="auto" w:fill="auto"/>
          </w:tcPr>
          <w:p w14:paraId="504BB9D0"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6.</w:t>
            </w:r>
          </w:p>
        </w:tc>
        <w:tc>
          <w:tcPr>
            <w:tcW w:w="2394" w:type="dxa"/>
            <w:shd w:val="clear" w:color="auto" w:fill="auto"/>
          </w:tcPr>
          <w:p w14:paraId="04244D5D"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Tunas Harapan</w:t>
            </w:r>
          </w:p>
        </w:tc>
        <w:tc>
          <w:tcPr>
            <w:tcW w:w="2344" w:type="dxa"/>
            <w:shd w:val="clear" w:color="auto" w:fill="auto"/>
          </w:tcPr>
          <w:p w14:paraId="7FB8925E"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Kasreman</w:t>
            </w:r>
            <w:proofErr w:type="spellEnd"/>
          </w:p>
        </w:tc>
        <w:tc>
          <w:tcPr>
            <w:tcW w:w="1752" w:type="dxa"/>
            <w:shd w:val="clear" w:color="auto" w:fill="auto"/>
          </w:tcPr>
          <w:p w14:paraId="66D41915"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Pakel</w:t>
            </w:r>
            <w:proofErr w:type="spellEnd"/>
          </w:p>
        </w:tc>
        <w:tc>
          <w:tcPr>
            <w:tcW w:w="1911" w:type="dxa"/>
            <w:shd w:val="clear" w:color="auto" w:fill="auto"/>
          </w:tcPr>
          <w:p w14:paraId="71D31B0F"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Development</w:t>
            </w:r>
          </w:p>
        </w:tc>
      </w:tr>
      <w:tr w:rsidR="00F25862" w:rsidRPr="00AF23E6" w14:paraId="25C1DA4C" w14:textId="77777777" w:rsidTr="00FA3390">
        <w:tc>
          <w:tcPr>
            <w:tcW w:w="603" w:type="dxa"/>
            <w:shd w:val="clear" w:color="auto" w:fill="auto"/>
          </w:tcPr>
          <w:p w14:paraId="10689DA0"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7.</w:t>
            </w:r>
          </w:p>
        </w:tc>
        <w:tc>
          <w:tcPr>
            <w:tcW w:w="2394" w:type="dxa"/>
            <w:shd w:val="clear" w:color="auto" w:fill="auto"/>
          </w:tcPr>
          <w:p w14:paraId="1873B388"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ID" w:eastAsia="en-US"/>
              </w:rPr>
              <w:t xml:space="preserve">KRPL </w:t>
            </w:r>
            <w:proofErr w:type="spellStart"/>
            <w:r w:rsidRPr="00AF23E6">
              <w:rPr>
                <w:rFonts w:ascii="Book Antiqua" w:eastAsia="Calibri" w:hAnsi="Book Antiqua" w:cs="Arial"/>
                <w:color w:val="auto"/>
                <w:sz w:val="22"/>
                <w:szCs w:val="22"/>
                <w:lang w:val="en-ID" w:eastAsia="en-US"/>
              </w:rPr>
              <w:t>Flamboyan</w:t>
            </w:r>
            <w:proofErr w:type="spellEnd"/>
            <w:r w:rsidRPr="00AF23E6">
              <w:rPr>
                <w:rFonts w:ascii="Book Antiqua" w:eastAsia="Calibri" w:hAnsi="Book Antiqua" w:cs="Arial"/>
                <w:color w:val="auto"/>
                <w:sz w:val="22"/>
                <w:szCs w:val="22"/>
                <w:lang w:val="en-ID" w:eastAsia="en-US"/>
              </w:rPr>
              <w:t xml:space="preserve"> Group</w:t>
            </w:r>
          </w:p>
        </w:tc>
        <w:tc>
          <w:tcPr>
            <w:tcW w:w="2344" w:type="dxa"/>
            <w:shd w:val="clear" w:color="auto" w:fill="auto"/>
          </w:tcPr>
          <w:p w14:paraId="29BB28EC"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Pojok</w:t>
            </w:r>
            <w:proofErr w:type="spellEnd"/>
          </w:p>
        </w:tc>
        <w:tc>
          <w:tcPr>
            <w:tcW w:w="1752" w:type="dxa"/>
            <w:shd w:val="clear" w:color="auto" w:fill="auto"/>
          </w:tcPr>
          <w:p w14:paraId="0C1DA846"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proofErr w:type="spellStart"/>
            <w:r w:rsidRPr="00AF23E6">
              <w:rPr>
                <w:rFonts w:ascii="Book Antiqua" w:eastAsia="Calibri" w:hAnsi="Book Antiqua" w:cs="Arial"/>
                <w:color w:val="auto"/>
                <w:sz w:val="22"/>
                <w:szCs w:val="22"/>
                <w:lang w:val="en-ID" w:eastAsia="en-US"/>
              </w:rPr>
              <w:t>Campurdarat</w:t>
            </w:r>
            <w:proofErr w:type="spellEnd"/>
          </w:p>
        </w:tc>
        <w:tc>
          <w:tcPr>
            <w:tcW w:w="1911" w:type="dxa"/>
            <w:shd w:val="clear" w:color="auto" w:fill="auto"/>
          </w:tcPr>
          <w:p w14:paraId="68CD444B" w14:textId="77777777" w:rsidR="00F25862" w:rsidRPr="00AF23E6" w:rsidRDefault="00F25862" w:rsidP="00FA3390">
            <w:pPr>
              <w:spacing w:line="276" w:lineRule="auto"/>
              <w:jc w:val="both"/>
              <w:rPr>
                <w:rFonts w:ascii="Book Antiqua" w:eastAsia="Calibri" w:hAnsi="Book Antiqua" w:cs="Arial"/>
                <w:color w:val="auto"/>
                <w:sz w:val="22"/>
                <w:szCs w:val="22"/>
                <w:lang w:val="en-ID" w:eastAsia="en-US"/>
              </w:rPr>
            </w:pPr>
            <w:r w:rsidRPr="00AF23E6">
              <w:rPr>
                <w:rFonts w:ascii="Book Antiqua" w:eastAsia="Calibri" w:hAnsi="Book Antiqua" w:cs="Arial"/>
                <w:color w:val="auto"/>
                <w:sz w:val="22"/>
                <w:szCs w:val="22"/>
                <w:lang w:val="en" w:eastAsia="en-US"/>
              </w:rPr>
              <w:t>Development</w:t>
            </w:r>
          </w:p>
        </w:tc>
      </w:tr>
    </w:tbl>
    <w:p w14:paraId="18E0626A" w14:textId="77777777" w:rsidR="00F25862" w:rsidRPr="009A04B9" w:rsidRDefault="00F25862" w:rsidP="00F25862">
      <w:pPr>
        <w:spacing w:after="160" w:line="276" w:lineRule="auto"/>
        <w:jc w:val="both"/>
        <w:rPr>
          <w:rFonts w:ascii="Georgia" w:eastAsia="Calibri" w:hAnsi="Georgia" w:cs="Arial"/>
          <w:color w:val="auto"/>
          <w:sz w:val="20"/>
          <w:szCs w:val="20"/>
          <w:lang w:val="en-ID" w:eastAsia="en-US"/>
        </w:rPr>
      </w:pPr>
      <w:r w:rsidRPr="009A04B9">
        <w:rPr>
          <w:rFonts w:ascii="Georgia" w:eastAsia="Calibri" w:hAnsi="Georgia" w:cs="Arial"/>
          <w:color w:val="auto"/>
          <w:sz w:val="20"/>
          <w:szCs w:val="20"/>
          <w:lang w:val="en-ID" w:eastAsia="en-US"/>
        </w:rPr>
        <w:t>Source: Commitment Making Official Decree Concerning Determination of P2L Beneficiaries for the 2020 Growth and Development Stage</w:t>
      </w:r>
    </w:p>
    <w:p w14:paraId="732C36F3"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 xml:space="preserve">Empowering women who are members of farmer groups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through the Women's Empowerment Program, namely Farmer Groups (P2L), has shown positive results. This can be seen from the formation of women farmer groups who actively manage agricultural products, which enables the development of processed products. Apart from that, this program also includes the establishment of </w:t>
      </w:r>
      <w:proofErr w:type="spellStart"/>
      <w:r w:rsidRPr="005002D7">
        <w:rPr>
          <w:rFonts w:ascii="Georgia" w:eastAsia="Calibri" w:hAnsi="Georgia" w:cs="Arial"/>
          <w:color w:val="auto"/>
          <w:lang w:val="en-ID" w:eastAsia="en-US"/>
        </w:rPr>
        <w:t>Agro</w:t>
      </w:r>
      <w:proofErr w:type="spellEnd"/>
      <w:r w:rsidRPr="005002D7">
        <w:rPr>
          <w:rFonts w:ascii="Georgia" w:eastAsia="Calibri" w:hAnsi="Georgia" w:cs="Arial"/>
          <w:color w:val="auto"/>
          <w:lang w:val="en-ID" w:eastAsia="en-US"/>
        </w:rPr>
        <w:t xml:space="preserve"> Tourism, Vegetable Education and markets which involve collaboration between the Food Security Service, Village Government, as well as Community Empowerment Institutions, Village Consultative Body, Village Owned Enterprises, Field Agricultural Extension Officers, Agricultural Extension </w:t>
      </w:r>
      <w:proofErr w:type="spellStart"/>
      <w:r w:rsidRPr="005002D7">
        <w:rPr>
          <w:rFonts w:ascii="Georgia" w:eastAsia="Calibri" w:hAnsi="Georgia" w:cs="Arial"/>
          <w:color w:val="auto"/>
          <w:lang w:val="en-ID" w:eastAsia="en-US"/>
        </w:rPr>
        <w:t>Centers</w:t>
      </w:r>
      <w:proofErr w:type="spellEnd"/>
      <w:r w:rsidRPr="005002D7">
        <w:rPr>
          <w:rFonts w:ascii="Georgia" w:eastAsia="Calibri" w:hAnsi="Georgia" w:cs="Arial"/>
          <w:color w:val="auto"/>
          <w:lang w:val="en-ID" w:eastAsia="en-US"/>
        </w:rPr>
        <w:t>, banking sector, such as Bank Rakyat Indonesia, private sector such as PT. BISI, and support from the surrounding community. Women in farming groups can now meet their daily vegetable needs, which is an important step in increasing food security and preventing stunting in children. Apart from that, people also have new opportunities to grow vegetables and sell in the culinary sector which not only provides new activities but also the opportunity to generate additional income.</w:t>
      </w:r>
    </w:p>
    <w:p w14:paraId="0244FC32" w14:textId="77777777" w:rsidR="00F25862" w:rsidRPr="005002D7" w:rsidRDefault="00F25862" w:rsidP="00F25862">
      <w:pPr>
        <w:spacing w:line="276" w:lineRule="auto"/>
        <w:ind w:firstLine="720"/>
        <w:jc w:val="both"/>
        <w:rPr>
          <w:rFonts w:ascii="Georgia" w:eastAsia="Calibri" w:hAnsi="Georgia" w:cs="Arial"/>
          <w:color w:val="auto"/>
          <w:lang w:val="en-ID" w:eastAsia="en-US"/>
        </w:rPr>
      </w:pPr>
      <w:r w:rsidRPr="005002D7">
        <w:rPr>
          <w:rFonts w:ascii="Georgia" w:eastAsia="Calibri" w:hAnsi="Georgia" w:cs="Arial"/>
          <w:color w:val="auto"/>
          <w:lang w:val="en-ID" w:eastAsia="en-US"/>
        </w:rPr>
        <w:t xml:space="preserve">Based on the results of observations and interviews with 9 informants, it can be concluded that the implementation of the P2L program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has gone well but still has several obstacles. The weather can make it difficult to plant and care for vegetables; pests can cause unforeseen problems that impair vegetable growth; and the marketing of vegetable products is still done on a limited scale. Aside from that, a further barrier is the poor </w:t>
      </w:r>
      <w:proofErr w:type="spellStart"/>
      <w:r w:rsidRPr="005002D7">
        <w:rPr>
          <w:rFonts w:ascii="Georgia" w:eastAsia="Calibri" w:hAnsi="Georgia" w:cs="Arial"/>
          <w:color w:val="auto"/>
          <w:lang w:val="en-ID" w:eastAsia="en-US"/>
        </w:rPr>
        <w:t>caliber</w:t>
      </w:r>
      <w:proofErr w:type="spellEnd"/>
      <w:r w:rsidRPr="005002D7">
        <w:rPr>
          <w:rFonts w:ascii="Georgia" w:eastAsia="Calibri" w:hAnsi="Georgia" w:cs="Arial"/>
          <w:color w:val="auto"/>
          <w:lang w:val="en-ID" w:eastAsia="en-US"/>
        </w:rPr>
        <w:t xml:space="preserve"> of human resources, which results in </w:t>
      </w:r>
      <w:r w:rsidRPr="005002D7">
        <w:rPr>
          <w:rFonts w:ascii="Georgia" w:eastAsia="Calibri" w:hAnsi="Georgia" w:cs="Arial"/>
          <w:color w:val="auto"/>
          <w:lang w:val="en-ID" w:eastAsia="en-US"/>
        </w:rPr>
        <w:lastRenderedPageBreak/>
        <w:t>misconceptions in the information provided by the Department, Village Government, and Field Agricultural Extension Officers.</w:t>
      </w:r>
    </w:p>
    <w:p w14:paraId="2B8BBDA4" w14:textId="77777777" w:rsidR="00F25862" w:rsidRPr="00600782" w:rsidRDefault="00F25862" w:rsidP="00F25862">
      <w:pPr>
        <w:spacing w:line="276" w:lineRule="auto"/>
        <w:ind w:firstLine="709"/>
        <w:jc w:val="both"/>
        <w:rPr>
          <w:rFonts w:ascii="Georgia" w:eastAsia="Georgia" w:hAnsi="Georgia" w:cs="Georgia"/>
        </w:rPr>
      </w:pPr>
      <w:r w:rsidRPr="005002D7">
        <w:rPr>
          <w:rFonts w:ascii="Georgia" w:eastAsia="Calibri" w:hAnsi="Georgia" w:cs="Arial"/>
          <w:color w:val="auto"/>
          <w:lang w:val="en-ID" w:eastAsia="en-US"/>
        </w:rPr>
        <w:t>Based on this background, this research focuses on providing an alternative Food Security strategy through the "</w:t>
      </w:r>
      <w:proofErr w:type="spellStart"/>
      <w:r w:rsidRPr="005002D7">
        <w:rPr>
          <w:rFonts w:ascii="Georgia" w:eastAsia="Calibri" w:hAnsi="Georgia" w:cs="Arial"/>
          <w:i/>
          <w:iCs/>
          <w:color w:val="auto"/>
          <w:lang w:val="en-ID" w:eastAsia="en-US"/>
        </w:rPr>
        <w:t>Pekarangan</w:t>
      </w:r>
      <w:proofErr w:type="spellEnd"/>
      <w:r w:rsidRPr="005002D7">
        <w:rPr>
          <w:rFonts w:ascii="Georgia" w:eastAsia="Calibri" w:hAnsi="Georgia" w:cs="Arial"/>
          <w:i/>
          <w:iCs/>
          <w:color w:val="auto"/>
          <w:lang w:val="en-ID" w:eastAsia="en-US"/>
        </w:rPr>
        <w:t xml:space="preserve"> </w:t>
      </w:r>
      <w:proofErr w:type="spellStart"/>
      <w:r w:rsidRPr="005002D7">
        <w:rPr>
          <w:rFonts w:ascii="Georgia" w:eastAsia="Calibri" w:hAnsi="Georgia" w:cs="Arial"/>
          <w:i/>
          <w:iCs/>
          <w:color w:val="auto"/>
          <w:lang w:val="en-ID" w:eastAsia="en-US"/>
        </w:rPr>
        <w:t>Pangan</w:t>
      </w:r>
      <w:proofErr w:type="spellEnd"/>
      <w:r w:rsidRPr="005002D7">
        <w:rPr>
          <w:rFonts w:ascii="Georgia" w:eastAsia="Calibri" w:hAnsi="Georgia" w:cs="Arial"/>
          <w:i/>
          <w:iCs/>
          <w:color w:val="auto"/>
          <w:lang w:val="en-ID" w:eastAsia="en-US"/>
        </w:rPr>
        <w:t xml:space="preserve"> Lestari</w:t>
      </w:r>
      <w:r w:rsidRPr="005002D7">
        <w:rPr>
          <w:rFonts w:ascii="Georgia" w:eastAsia="Calibri" w:hAnsi="Georgia" w:cs="Arial"/>
          <w:color w:val="auto"/>
          <w:lang w:val="en-ID" w:eastAsia="en-US"/>
        </w:rPr>
        <w:t xml:space="preserve"> (P2L)" Program in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using the SWOT matrix model through assessment of the Internal Factor Analysis Summary and External Factor Analysis Summary. The results of this research can be used as material for making food security policy plans for </w:t>
      </w:r>
      <w:proofErr w:type="spellStart"/>
      <w:r w:rsidRPr="005002D7">
        <w:rPr>
          <w:rFonts w:ascii="Georgia" w:eastAsia="Calibri" w:hAnsi="Georgia" w:cs="Arial"/>
          <w:color w:val="auto"/>
          <w:lang w:val="en-ID" w:eastAsia="en-US"/>
        </w:rPr>
        <w:t>Tulungagung</w:t>
      </w:r>
      <w:proofErr w:type="spellEnd"/>
      <w:r w:rsidRPr="005002D7">
        <w:rPr>
          <w:rFonts w:ascii="Georgia" w:eastAsia="Calibri" w:hAnsi="Georgia" w:cs="Arial"/>
          <w:color w:val="auto"/>
          <w:lang w:val="en-ID" w:eastAsia="en-US"/>
        </w:rPr>
        <w:t xml:space="preserve"> Regency in the next period</w:t>
      </w:r>
      <w:r w:rsidRPr="008708F7">
        <w:rPr>
          <w:rFonts w:ascii="Georgia" w:eastAsia="Georgia" w:hAnsi="Georgia" w:cs="Georgia"/>
          <w:lang w:val="id-ID"/>
        </w:rPr>
        <w:t>.</w:t>
      </w:r>
    </w:p>
    <w:p w14:paraId="2AF70E41" w14:textId="77777777" w:rsidR="00F25862" w:rsidRPr="00D96B47" w:rsidRDefault="00F25862" w:rsidP="00F25862">
      <w:pPr>
        <w:rPr>
          <w:rFonts w:ascii="Georgia" w:eastAsia="Georgia" w:hAnsi="Georgia" w:cs="Georgia"/>
          <w:b/>
          <w:lang w:val="id-ID"/>
        </w:rPr>
      </w:pPr>
    </w:p>
    <w:p w14:paraId="62EA9DA4" w14:textId="77777777" w:rsidR="00F25862" w:rsidRDefault="00F25862" w:rsidP="00F25862">
      <w:pPr>
        <w:rPr>
          <w:rFonts w:ascii="Georgia" w:eastAsia="Georgia" w:hAnsi="Georgia" w:cs="Georgia"/>
        </w:rPr>
      </w:pPr>
      <w:r>
        <w:rPr>
          <w:rFonts w:ascii="Georgia" w:eastAsia="Georgia" w:hAnsi="Georgia" w:cs="Georgia"/>
          <w:b/>
        </w:rPr>
        <w:t>Research Method</w:t>
      </w:r>
    </w:p>
    <w:p w14:paraId="5DAE8819" w14:textId="77777777" w:rsidR="00F25862" w:rsidRDefault="00F25862" w:rsidP="00F25862">
      <w:pPr>
        <w:spacing w:line="276" w:lineRule="auto"/>
        <w:ind w:firstLine="709"/>
        <w:jc w:val="both"/>
        <w:rPr>
          <w:rFonts w:ascii="Georgia" w:eastAsia="Georgia" w:hAnsi="Georgia" w:cs="Georgia"/>
        </w:rPr>
      </w:pPr>
      <w:r w:rsidRPr="00412904">
        <w:rPr>
          <w:rStyle w:val="selectable-text"/>
          <w:rFonts w:ascii="Georgia" w:hAnsi="Georgia"/>
        </w:rPr>
        <w:t xml:space="preserve">The research was located in </w:t>
      </w:r>
      <w:proofErr w:type="spellStart"/>
      <w:r w:rsidRPr="00412904">
        <w:rPr>
          <w:rStyle w:val="selectable-text"/>
          <w:rFonts w:ascii="Georgia" w:hAnsi="Georgia"/>
        </w:rPr>
        <w:t>Tulungagung</w:t>
      </w:r>
      <w:proofErr w:type="spellEnd"/>
      <w:r w:rsidRPr="00412904">
        <w:rPr>
          <w:rStyle w:val="selectable-text"/>
          <w:rFonts w:ascii="Georgia" w:hAnsi="Georgia"/>
        </w:rPr>
        <w:t xml:space="preserve"> Regency with the consideration that the </w:t>
      </w:r>
      <w:proofErr w:type="spellStart"/>
      <w:r w:rsidRPr="00412904">
        <w:rPr>
          <w:rStyle w:val="selectable-text"/>
          <w:rFonts w:ascii="Georgia" w:hAnsi="Georgia"/>
        </w:rPr>
        <w:t>Tulungagung</w:t>
      </w:r>
      <w:proofErr w:type="spellEnd"/>
      <w:r w:rsidRPr="00412904">
        <w:rPr>
          <w:rStyle w:val="selectable-text"/>
          <w:rFonts w:ascii="Georgia" w:hAnsi="Georgia"/>
        </w:rPr>
        <w:t xml:space="preserve"> area is an agricultural area which places the agricultural sector as the leading sector, so the P2L program received special attention from the regional government. This research used a qualitative descriptive method with a sampling technique of 9 informants using snowball sampling. The strategy model uses the SWOT matrix through Internal Factor Analysis Summary and External Factor Analysis Summary. The data collection process was obtained from observations, interviews and documents. Data validity is determined through triangulation of sources and methods</w:t>
      </w:r>
      <w:r w:rsidRPr="008708F7">
        <w:rPr>
          <w:rFonts w:ascii="Georgia" w:eastAsia="Georgia" w:hAnsi="Georgia" w:cs="Georgia"/>
        </w:rPr>
        <w:t>.</w:t>
      </w:r>
    </w:p>
    <w:p w14:paraId="0BA81A07" w14:textId="77777777" w:rsidR="00F25862" w:rsidRDefault="00F25862" w:rsidP="00F25862">
      <w:pPr>
        <w:spacing w:line="276" w:lineRule="auto"/>
        <w:ind w:firstLine="709"/>
        <w:jc w:val="both"/>
        <w:rPr>
          <w:rFonts w:ascii="Georgia" w:eastAsia="Georgia" w:hAnsi="Georgia" w:cs="Georgia"/>
        </w:rPr>
      </w:pPr>
    </w:p>
    <w:p w14:paraId="4AFB2415" w14:textId="77777777" w:rsidR="00F25862" w:rsidRDefault="00F25862" w:rsidP="00F25862">
      <w:pPr>
        <w:jc w:val="both"/>
        <w:rPr>
          <w:rFonts w:ascii="Georgia" w:eastAsia="Georgia" w:hAnsi="Georgia" w:cs="Georgia"/>
        </w:rPr>
      </w:pPr>
      <w:r>
        <w:rPr>
          <w:rFonts w:ascii="Georgia" w:eastAsia="Georgia" w:hAnsi="Georgia" w:cs="Georgia"/>
          <w:b/>
        </w:rPr>
        <w:t>Results</w:t>
      </w:r>
    </w:p>
    <w:p w14:paraId="1FA4138C" w14:textId="77777777" w:rsidR="00F25862" w:rsidRPr="008708F7" w:rsidRDefault="00F25862" w:rsidP="00F25862">
      <w:pPr>
        <w:spacing w:line="276" w:lineRule="auto"/>
        <w:jc w:val="both"/>
        <w:rPr>
          <w:rFonts w:ascii="Georgia" w:eastAsia="Georgia" w:hAnsi="Georgia" w:cs="Georgia"/>
          <w:b/>
          <w:bCs/>
        </w:rPr>
      </w:pPr>
      <w:r w:rsidRPr="008708F7">
        <w:rPr>
          <w:rFonts w:ascii="Georgia" w:eastAsia="Georgia" w:hAnsi="Georgia" w:cs="Georgia"/>
          <w:b/>
          <w:bCs/>
          <w:lang w:val="id-ID"/>
        </w:rPr>
        <w:t>P</w:t>
      </w:r>
      <w:proofErr w:type="spellStart"/>
      <w:r w:rsidRPr="008708F7">
        <w:rPr>
          <w:rFonts w:ascii="Georgia" w:eastAsia="Georgia" w:hAnsi="Georgia" w:cs="Georgia"/>
          <w:b/>
          <w:bCs/>
        </w:rPr>
        <w:t>otensi</w:t>
      </w:r>
      <w:proofErr w:type="spellEnd"/>
      <w:r w:rsidRPr="008708F7">
        <w:rPr>
          <w:rFonts w:ascii="Georgia" w:eastAsia="Georgia" w:hAnsi="Georgia" w:cs="Georgia"/>
          <w:b/>
          <w:bCs/>
        </w:rPr>
        <w:t xml:space="preserve"> Masjid Al-Akbar </w:t>
      </w:r>
      <w:proofErr w:type="spellStart"/>
      <w:r w:rsidRPr="008708F7">
        <w:rPr>
          <w:rFonts w:ascii="Georgia" w:eastAsia="Georgia" w:hAnsi="Georgia" w:cs="Georgia"/>
          <w:b/>
          <w:bCs/>
        </w:rPr>
        <w:t>Sebagai</w:t>
      </w:r>
      <w:proofErr w:type="spellEnd"/>
      <w:r w:rsidRPr="008708F7">
        <w:rPr>
          <w:rFonts w:ascii="Georgia" w:eastAsia="Georgia" w:hAnsi="Georgia" w:cs="Georgia"/>
          <w:b/>
          <w:bCs/>
        </w:rPr>
        <w:t xml:space="preserve"> Lembaga </w:t>
      </w:r>
      <w:proofErr w:type="spellStart"/>
      <w:r w:rsidRPr="008708F7">
        <w:rPr>
          <w:rFonts w:ascii="Georgia" w:eastAsia="Georgia" w:hAnsi="Georgia" w:cs="Georgia"/>
          <w:b/>
          <w:bCs/>
        </w:rPr>
        <w:t>Filantropi</w:t>
      </w:r>
      <w:proofErr w:type="spellEnd"/>
    </w:p>
    <w:p w14:paraId="748E9422" w14:textId="77777777" w:rsidR="00F25862" w:rsidRDefault="00F25862" w:rsidP="00F25862">
      <w:pPr>
        <w:ind w:firstLine="709"/>
        <w:jc w:val="both"/>
        <w:rPr>
          <w:rStyle w:val="selectable-text"/>
          <w:rFonts w:ascii="Georgia" w:hAnsi="Georgia"/>
        </w:rPr>
      </w:pPr>
      <w:r w:rsidRPr="008708F7">
        <w:rPr>
          <w:rFonts w:ascii="Georgia" w:eastAsia="Georgia" w:hAnsi="Georgia" w:cs="Georgia"/>
        </w:rPr>
        <w:tab/>
      </w:r>
      <w:r w:rsidRPr="00412904">
        <w:rPr>
          <w:rStyle w:val="selectable-text"/>
          <w:rFonts w:ascii="Georgia" w:hAnsi="Georgia"/>
        </w:rPr>
        <w:t xml:space="preserve">The Sustainable P2L Program seeks to raise household income, decrease child hunger and stunting, and improve household food availability, accessibility, and use. The implementation of the P2L program in </w:t>
      </w:r>
      <w:proofErr w:type="spellStart"/>
      <w:r w:rsidRPr="00412904">
        <w:rPr>
          <w:rStyle w:val="selectable-text"/>
          <w:rFonts w:ascii="Georgia" w:hAnsi="Georgia"/>
        </w:rPr>
        <w:t>Tulungagung</w:t>
      </w:r>
      <w:proofErr w:type="spellEnd"/>
      <w:r w:rsidRPr="00412904">
        <w:rPr>
          <w:rStyle w:val="selectable-text"/>
          <w:rFonts w:ascii="Georgia" w:hAnsi="Georgia"/>
        </w:rPr>
        <w:t xml:space="preserve"> Regency has gone well but still has several obstacles. To overcome these obstacles, this research provides strategic direction based on the results of the SWOT analysis as follows: </w:t>
      </w:r>
    </w:p>
    <w:p w14:paraId="1CD5D7FC" w14:textId="77777777" w:rsidR="00F25862" w:rsidRDefault="00F25862" w:rsidP="00F25862">
      <w:pPr>
        <w:ind w:firstLine="709"/>
        <w:jc w:val="both"/>
        <w:rPr>
          <w:rStyle w:val="selectable-text"/>
          <w:rFonts w:ascii="Georgia" w:hAnsi="Georgia"/>
        </w:rPr>
      </w:pPr>
    </w:p>
    <w:p w14:paraId="52CBAD4C" w14:textId="77777777" w:rsidR="00F25862" w:rsidRDefault="00F25862" w:rsidP="00F25862">
      <w:pPr>
        <w:tabs>
          <w:tab w:val="left" w:pos="360"/>
        </w:tabs>
        <w:suppressAutoHyphens/>
        <w:spacing w:line="276" w:lineRule="auto"/>
        <w:jc w:val="center"/>
        <w:rPr>
          <w:rFonts w:ascii="Georgia" w:hAnsi="Georgia" w:cs="Arial"/>
          <w:bCs/>
          <w:color w:val="auto"/>
          <w:lang w:eastAsia="en-US"/>
        </w:rPr>
      </w:pPr>
      <w:r w:rsidRPr="00EE1A62">
        <w:rPr>
          <w:rFonts w:ascii="Georgia" w:hAnsi="Georgia" w:cs="Arial"/>
          <w:bCs/>
          <w:color w:val="auto"/>
          <w:lang w:eastAsia="en-US"/>
        </w:rPr>
        <w:t>Table 3</w:t>
      </w:r>
      <w:r>
        <w:rPr>
          <w:rFonts w:ascii="Georgia" w:hAnsi="Georgia" w:cs="Arial"/>
          <w:bCs/>
          <w:color w:val="auto"/>
          <w:lang w:eastAsia="en-US"/>
        </w:rPr>
        <w:t xml:space="preserve">. </w:t>
      </w:r>
      <w:r w:rsidRPr="00EE1A62">
        <w:rPr>
          <w:rFonts w:ascii="Georgia" w:hAnsi="Georgia" w:cs="Arial"/>
          <w:bCs/>
          <w:color w:val="auto"/>
          <w:lang w:eastAsia="en-US"/>
        </w:rPr>
        <w:t>Matrix SWOT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67"/>
        <w:gridCol w:w="2522"/>
      </w:tblGrid>
      <w:tr w:rsidR="00F25862" w:rsidRPr="00AF23E6" w14:paraId="3EC30578" w14:textId="77777777" w:rsidTr="00FA3390">
        <w:trPr>
          <w:jc w:val="center"/>
        </w:trPr>
        <w:tc>
          <w:tcPr>
            <w:tcW w:w="2689" w:type="dxa"/>
            <w:shd w:val="clear" w:color="auto" w:fill="auto"/>
          </w:tcPr>
          <w:p w14:paraId="6AC412C6"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bookmarkStart w:id="1" w:name="_Hlk146357399"/>
            <w:r w:rsidRPr="00AF23E6">
              <w:rPr>
                <w:rFonts w:ascii="Book Antiqua" w:eastAsia="Calibri" w:hAnsi="Book Antiqua" w:cs="Arial"/>
                <w:color w:val="auto"/>
                <w:sz w:val="22"/>
                <w:szCs w:val="22"/>
                <w:lang w:eastAsia="en-US"/>
              </w:rPr>
              <w:t>IFAS</w:t>
            </w:r>
          </w:p>
          <w:p w14:paraId="7F1131C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51AFCF86"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60B929E9"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A89AE81"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4EF8630E"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29FCE1E9"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6573689B"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1780EEA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48506F8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50D39FB4"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61A29A6D"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60B1FDD"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63D23A13"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130ACE1C"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2091CE8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14AD0064"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4BF4ACA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049088F2"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7E24C35"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7F92721B"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0306262"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4B3B04B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230ECBF"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19F7366D"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3BEFC1AC"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77E5C7A9"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p>
          <w:p w14:paraId="452998FA"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67DE8EF4"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601F0234"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20A45D62"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5C9F3FEF"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64648AAA"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0028899B"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2E33BDBA"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120247D0"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7C89C41C"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4C35664D"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37A262D4"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6BB62419"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4593BF0E"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p>
          <w:p w14:paraId="50154C2F" w14:textId="77777777" w:rsidR="00F25862" w:rsidRPr="00AF23E6" w:rsidRDefault="00F25862" w:rsidP="00FA3390">
            <w:pPr>
              <w:autoSpaceDE w:val="0"/>
              <w:autoSpaceDN w:val="0"/>
              <w:adjustRightInd w:val="0"/>
              <w:spacing w:line="276" w:lineRule="auto"/>
              <w:contextualSpacing/>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EFAS</w:t>
            </w:r>
          </w:p>
        </w:tc>
        <w:tc>
          <w:tcPr>
            <w:tcW w:w="3567" w:type="dxa"/>
            <w:shd w:val="clear" w:color="auto" w:fill="auto"/>
          </w:tcPr>
          <w:p w14:paraId="5C188795"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lastRenderedPageBreak/>
              <w:t>Strengths</w:t>
            </w:r>
          </w:p>
          <w:p w14:paraId="3416372C" w14:textId="77777777" w:rsidR="00F25862" w:rsidRPr="00AF23E6" w:rsidRDefault="00F25862" w:rsidP="00FA3390">
            <w:pPr>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534F56DE" w14:textId="77777777" w:rsidR="00F25862" w:rsidRPr="00AF23E6" w:rsidRDefault="00F25862" w:rsidP="00F25862">
            <w:pPr>
              <w:widowControl w:val="0"/>
              <w:numPr>
                <w:ilvl w:val="0"/>
                <w:numId w:val="1"/>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Agriculture is the main sector in economic development in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Regency, where the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area is an agricultural area so it is suitable for placing the agricultural sector as a leading sector.</w:t>
            </w:r>
          </w:p>
          <w:p w14:paraId="25C47238" w14:textId="77777777" w:rsidR="00F25862" w:rsidRPr="00AF23E6" w:rsidRDefault="00F25862" w:rsidP="00F25862">
            <w:pPr>
              <w:widowControl w:val="0"/>
              <w:numPr>
                <w:ilvl w:val="0"/>
                <w:numId w:val="1"/>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Relevant stakeholders (Food Security Service, Agriculture Service, Agricultural Extension Center, and Field Agricultural Instructors) provide guidance and training related to plant cultivation, making organic </w:t>
            </w:r>
            <w:r w:rsidRPr="00AF23E6">
              <w:rPr>
                <w:rFonts w:ascii="Book Antiqua" w:eastAsia="Calibri" w:hAnsi="Book Antiqua" w:cs="Arial"/>
                <w:color w:val="auto"/>
                <w:sz w:val="22"/>
                <w:szCs w:val="22"/>
                <w:lang w:eastAsia="en-US"/>
              </w:rPr>
              <w:lastRenderedPageBreak/>
              <w:t>fertilizer (composter), training on processed food, and training on repelling pests.</w:t>
            </w:r>
          </w:p>
          <w:p w14:paraId="7C5E9393" w14:textId="77777777" w:rsidR="00F25862" w:rsidRPr="00AF23E6" w:rsidRDefault="00F25862" w:rsidP="00F25862">
            <w:pPr>
              <w:widowControl w:val="0"/>
              <w:numPr>
                <w:ilvl w:val="0"/>
                <w:numId w:val="1"/>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Field Agricultural Extension Officers assist and accompany the registration of Farmer Groups to the Processing and Marketing Group.</w:t>
            </w:r>
          </w:p>
          <w:p w14:paraId="5350684F" w14:textId="77777777" w:rsidR="00F25862" w:rsidRPr="00AF23E6" w:rsidRDefault="00F25862" w:rsidP="00F25862">
            <w:pPr>
              <w:widowControl w:val="0"/>
              <w:numPr>
                <w:ilvl w:val="0"/>
                <w:numId w:val="1"/>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Farmer groups in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Regency are largely able to determine the needs of administrators and voters who are appointed as administrators. The Field Agricultural Extension Officer only provides assistances. </w:t>
            </w:r>
          </w:p>
          <w:p w14:paraId="4EBE8CEB" w14:textId="77777777" w:rsidR="00F25862" w:rsidRPr="00AF23E6" w:rsidRDefault="00F25862" w:rsidP="00F25862">
            <w:pPr>
              <w:widowControl w:val="0"/>
              <w:numPr>
                <w:ilvl w:val="0"/>
                <w:numId w:val="1"/>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Field Agricultural Extension Officers give full authority to farmer groups to manage income such as levies that go into the treasury. The results of the distribution can be managed to be lent to members of farmer groups as an effort to help with capital and development.</w:t>
            </w:r>
          </w:p>
          <w:p w14:paraId="7F30F4A0" w14:textId="77777777" w:rsidR="00F25862" w:rsidRPr="00AF23E6" w:rsidRDefault="00F25862" w:rsidP="00FA3390">
            <w:pPr>
              <w:widowControl w:val="0"/>
              <w:autoSpaceDE w:val="0"/>
              <w:autoSpaceDN w:val="0"/>
              <w:adjustRightInd w:val="0"/>
              <w:spacing w:line="276" w:lineRule="auto"/>
              <w:ind w:left="296"/>
              <w:contextualSpacing/>
              <w:jc w:val="both"/>
              <w:rPr>
                <w:rFonts w:ascii="Book Antiqua" w:eastAsia="Calibri" w:hAnsi="Book Antiqua" w:cs="Arial"/>
                <w:color w:val="auto"/>
                <w:sz w:val="22"/>
                <w:szCs w:val="22"/>
                <w:lang w:eastAsia="en-US"/>
              </w:rPr>
            </w:pPr>
          </w:p>
        </w:tc>
        <w:tc>
          <w:tcPr>
            <w:tcW w:w="2522" w:type="dxa"/>
            <w:shd w:val="clear" w:color="auto" w:fill="auto"/>
          </w:tcPr>
          <w:p w14:paraId="1425957D" w14:textId="77777777" w:rsidR="00F25862" w:rsidRPr="00AF23E6" w:rsidRDefault="00F25862" w:rsidP="00FA3390">
            <w:pPr>
              <w:widowControl w:val="0"/>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lastRenderedPageBreak/>
              <w:t>Weaknesses</w:t>
            </w:r>
          </w:p>
          <w:p w14:paraId="00E49D87" w14:textId="77777777" w:rsidR="00F25862" w:rsidRPr="00AF23E6" w:rsidRDefault="00F25862" w:rsidP="00FA3390">
            <w:pPr>
              <w:widowControl w:val="0"/>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5D7BF199" w14:textId="77777777" w:rsidR="00F25862" w:rsidRPr="00AF23E6" w:rsidRDefault="00F25862" w:rsidP="00F25862">
            <w:pPr>
              <w:widowControl w:val="0"/>
              <w:numPr>
                <w:ilvl w:val="0"/>
                <w:numId w:val="2"/>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The human resources of Farmer Group members tend to be low, seen from the level of education, the majority of whom are elementary school and junior high school graduates. This low level of human resources is an obstacle to accelerating the P2L program. </w:t>
            </w:r>
          </w:p>
          <w:p w14:paraId="76F06534" w14:textId="77777777" w:rsidR="00F25862" w:rsidRPr="00AF23E6" w:rsidRDefault="00F25862" w:rsidP="00F25862">
            <w:pPr>
              <w:widowControl w:val="0"/>
              <w:numPr>
                <w:ilvl w:val="0"/>
                <w:numId w:val="2"/>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Marketing of </w:t>
            </w:r>
            <w:r w:rsidRPr="00AF23E6">
              <w:rPr>
                <w:rFonts w:ascii="Book Antiqua" w:eastAsia="Calibri" w:hAnsi="Book Antiqua" w:cs="Arial"/>
                <w:color w:val="auto"/>
                <w:sz w:val="22"/>
                <w:szCs w:val="22"/>
                <w:lang w:eastAsia="en-US"/>
              </w:rPr>
              <w:lastRenderedPageBreak/>
              <w:t xml:space="preserve">P2L program results is still within the scope of traditional markets in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Regency, so expansion and promotion are needed to increase sales volume and income.</w:t>
            </w:r>
          </w:p>
          <w:p w14:paraId="7F677366" w14:textId="77777777" w:rsidR="00F25862" w:rsidRPr="00AF23E6" w:rsidRDefault="00F25862" w:rsidP="00FA3390">
            <w:pPr>
              <w:widowControl w:val="0"/>
              <w:autoSpaceDE w:val="0"/>
              <w:autoSpaceDN w:val="0"/>
              <w:adjustRightInd w:val="0"/>
              <w:spacing w:line="276" w:lineRule="auto"/>
              <w:ind w:left="344"/>
              <w:contextualSpacing/>
              <w:jc w:val="both"/>
              <w:rPr>
                <w:rFonts w:ascii="Book Antiqua" w:eastAsia="Calibri" w:hAnsi="Book Antiqua" w:cs="Arial"/>
                <w:color w:val="auto"/>
                <w:sz w:val="22"/>
                <w:szCs w:val="22"/>
                <w:lang w:eastAsia="en-US"/>
              </w:rPr>
            </w:pPr>
          </w:p>
        </w:tc>
      </w:tr>
      <w:tr w:rsidR="00F25862" w:rsidRPr="00AF23E6" w14:paraId="4F80B616" w14:textId="77777777" w:rsidTr="00FA3390">
        <w:trPr>
          <w:jc w:val="center"/>
        </w:trPr>
        <w:tc>
          <w:tcPr>
            <w:tcW w:w="2689" w:type="dxa"/>
            <w:shd w:val="clear" w:color="auto" w:fill="auto"/>
          </w:tcPr>
          <w:p w14:paraId="5AB59858"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bookmarkStart w:id="2" w:name="_Hlk141863029"/>
            <w:bookmarkEnd w:id="1"/>
            <w:r w:rsidRPr="00AF23E6">
              <w:rPr>
                <w:rFonts w:ascii="Book Antiqua" w:eastAsia="Calibri" w:hAnsi="Book Antiqua" w:cs="Arial"/>
                <w:color w:val="auto"/>
                <w:sz w:val="22"/>
                <w:szCs w:val="22"/>
                <w:lang w:eastAsia="en-US"/>
              </w:rPr>
              <w:lastRenderedPageBreak/>
              <w:t>Opportunities</w:t>
            </w:r>
          </w:p>
          <w:p w14:paraId="03A25A50" w14:textId="77777777" w:rsidR="00F25862" w:rsidRPr="00AF23E6" w:rsidRDefault="00F25862" w:rsidP="00FA3390">
            <w:pPr>
              <w:widowControl w:val="0"/>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066F6996" w14:textId="77777777" w:rsidR="00F25862" w:rsidRPr="00AF23E6" w:rsidRDefault="00F25862" w:rsidP="00F25862">
            <w:pPr>
              <w:widowControl w:val="0"/>
              <w:numPr>
                <w:ilvl w:val="0"/>
                <w:numId w:val="3"/>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Triple helix support from the government (Food Security Service, Agricultural Extension Center, Village Government); from the private sector (BRI), and the community (Institute for Community Empowerment, environmental youth leaders) to realize food security and develop village potential, such as creating educational </w:t>
            </w:r>
            <w:r w:rsidRPr="00AF23E6">
              <w:rPr>
                <w:rFonts w:ascii="Book Antiqua" w:eastAsia="Calibri" w:hAnsi="Book Antiqua" w:cs="Arial"/>
                <w:color w:val="auto"/>
                <w:sz w:val="22"/>
                <w:szCs w:val="22"/>
                <w:lang w:eastAsia="en-US"/>
              </w:rPr>
              <w:lastRenderedPageBreak/>
              <w:t>vegetable agrotourism.</w:t>
            </w:r>
          </w:p>
          <w:p w14:paraId="7B324DA5" w14:textId="77777777" w:rsidR="00F25862" w:rsidRPr="00AF23E6" w:rsidRDefault="00F25862" w:rsidP="00F25862">
            <w:pPr>
              <w:widowControl w:val="0"/>
              <w:numPr>
                <w:ilvl w:val="0"/>
                <w:numId w:val="3"/>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Enthusiasm from farmer groups and the community for farming, community service, and holding regular group meetings as a means of monitoring and evaluating the P2L program.</w:t>
            </w:r>
          </w:p>
          <w:p w14:paraId="53D9AEF2" w14:textId="77777777" w:rsidR="00F25862" w:rsidRPr="00AF23E6" w:rsidRDefault="00F25862" w:rsidP="00F25862">
            <w:pPr>
              <w:widowControl w:val="0"/>
              <w:numPr>
                <w:ilvl w:val="0"/>
                <w:numId w:val="3"/>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P2L Program as an effort to encourage independence and food security for families and the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Regency Community.</w:t>
            </w:r>
          </w:p>
          <w:p w14:paraId="61196B6E" w14:textId="77777777" w:rsidR="00F25862" w:rsidRPr="00AF23E6" w:rsidRDefault="00F25862" w:rsidP="00FA3390">
            <w:pPr>
              <w:widowControl w:val="0"/>
              <w:autoSpaceDE w:val="0"/>
              <w:autoSpaceDN w:val="0"/>
              <w:adjustRightInd w:val="0"/>
              <w:spacing w:line="276" w:lineRule="auto"/>
              <w:ind w:left="337"/>
              <w:contextualSpacing/>
              <w:jc w:val="both"/>
              <w:rPr>
                <w:rFonts w:ascii="Book Antiqua" w:eastAsia="Calibri" w:hAnsi="Book Antiqua" w:cs="Arial"/>
                <w:color w:val="auto"/>
                <w:sz w:val="22"/>
                <w:szCs w:val="22"/>
                <w:lang w:eastAsia="en-US"/>
              </w:rPr>
            </w:pPr>
          </w:p>
        </w:tc>
        <w:tc>
          <w:tcPr>
            <w:tcW w:w="3567" w:type="dxa"/>
            <w:shd w:val="clear" w:color="auto" w:fill="auto"/>
          </w:tcPr>
          <w:p w14:paraId="273B3BEC"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lastRenderedPageBreak/>
              <w:t>Strategy S-O</w:t>
            </w:r>
          </w:p>
          <w:p w14:paraId="267681DC" w14:textId="77777777" w:rsidR="00F25862" w:rsidRPr="00AF23E6" w:rsidRDefault="00F25862" w:rsidP="00FA3390">
            <w:pPr>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2B60A672" w14:textId="77777777" w:rsidR="00F25862" w:rsidRPr="00AF23E6" w:rsidRDefault="00F25862" w:rsidP="00F25862">
            <w:pPr>
              <w:widowControl w:val="0"/>
              <w:numPr>
                <w:ilvl w:val="0"/>
                <w:numId w:val="5"/>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Taking advantage of the geographical conditions of </w:t>
            </w:r>
            <w:proofErr w:type="spellStart"/>
            <w:r w:rsidRPr="00AF23E6">
              <w:rPr>
                <w:rFonts w:ascii="Book Antiqua" w:eastAsia="Calibri" w:hAnsi="Book Antiqua" w:cs="Arial"/>
                <w:color w:val="auto"/>
                <w:sz w:val="22"/>
                <w:szCs w:val="22"/>
                <w:lang w:eastAsia="en-US"/>
              </w:rPr>
              <w:t>Tulungagung</w:t>
            </w:r>
            <w:proofErr w:type="spellEnd"/>
            <w:r w:rsidRPr="00AF23E6">
              <w:rPr>
                <w:rFonts w:ascii="Book Antiqua" w:eastAsia="Calibri" w:hAnsi="Book Antiqua" w:cs="Arial"/>
                <w:color w:val="auto"/>
                <w:sz w:val="22"/>
                <w:szCs w:val="22"/>
                <w:lang w:eastAsia="en-US"/>
              </w:rPr>
              <w:t xml:space="preserve"> Regency which has advantages in the agricultural sector as a center for vegetable cultivation.</w:t>
            </w:r>
          </w:p>
          <w:p w14:paraId="35DE2EDE" w14:textId="77777777" w:rsidR="00F25862" w:rsidRPr="00AF23E6" w:rsidRDefault="00F25862" w:rsidP="00F25862">
            <w:pPr>
              <w:widowControl w:val="0"/>
              <w:numPr>
                <w:ilvl w:val="0"/>
                <w:numId w:val="5"/>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Strengthening collaboration networks not only with local governments, the private sector and the community, but also collaboration with universities that are experts in the field of agriculture to carry out practical field experience activities or thematic real work lectures that support the P2L program.</w:t>
            </w:r>
          </w:p>
          <w:p w14:paraId="27B8D11E" w14:textId="77777777" w:rsidR="00F25862" w:rsidRPr="00AF23E6" w:rsidRDefault="00F25862" w:rsidP="00F25862">
            <w:pPr>
              <w:widowControl w:val="0"/>
              <w:numPr>
                <w:ilvl w:val="0"/>
                <w:numId w:val="5"/>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lastRenderedPageBreak/>
              <w:t>Providing rewards to farmer groups and communities who have succeeded in realizing food independence in their environment.</w:t>
            </w:r>
          </w:p>
        </w:tc>
        <w:tc>
          <w:tcPr>
            <w:tcW w:w="2522" w:type="dxa"/>
            <w:shd w:val="clear" w:color="auto" w:fill="auto"/>
          </w:tcPr>
          <w:p w14:paraId="783B36E6"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lastRenderedPageBreak/>
              <w:t>Strategy W-O</w:t>
            </w:r>
          </w:p>
          <w:p w14:paraId="12B60EF1" w14:textId="77777777" w:rsidR="00F25862" w:rsidRPr="00AF23E6" w:rsidRDefault="00F25862" w:rsidP="00FA3390">
            <w:pPr>
              <w:widowControl w:val="0"/>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6D67F0EA" w14:textId="77777777" w:rsidR="00F25862" w:rsidRPr="00AF23E6" w:rsidRDefault="00F25862" w:rsidP="00F25862">
            <w:pPr>
              <w:widowControl w:val="0"/>
              <w:numPr>
                <w:ilvl w:val="0"/>
                <w:numId w:val="6"/>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 xml:space="preserve">Regional governments can provide training and assistance to farmer groups on a regular and measurable basis to achieve accelerated success of the P2L program. </w:t>
            </w:r>
          </w:p>
          <w:p w14:paraId="47923825" w14:textId="77777777" w:rsidR="00F25862" w:rsidRPr="00AF23E6" w:rsidRDefault="00F25862" w:rsidP="00F25862">
            <w:pPr>
              <w:widowControl w:val="0"/>
              <w:numPr>
                <w:ilvl w:val="0"/>
                <w:numId w:val="6"/>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Utilization of information technology and social media as marketing and promotion efforts for agricultural products.</w:t>
            </w:r>
          </w:p>
        </w:tc>
      </w:tr>
      <w:bookmarkEnd w:id="2"/>
      <w:tr w:rsidR="00F25862" w:rsidRPr="00AF23E6" w14:paraId="3FC2D9CC" w14:textId="77777777" w:rsidTr="00FA3390">
        <w:trPr>
          <w:trHeight w:val="460"/>
          <w:jc w:val="center"/>
        </w:trPr>
        <w:tc>
          <w:tcPr>
            <w:tcW w:w="2689" w:type="dxa"/>
            <w:shd w:val="clear" w:color="auto" w:fill="auto"/>
          </w:tcPr>
          <w:p w14:paraId="17D6513F"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Threats</w:t>
            </w:r>
          </w:p>
          <w:p w14:paraId="13F79CE8" w14:textId="77777777" w:rsidR="00F25862" w:rsidRPr="00AF23E6" w:rsidRDefault="00F25862" w:rsidP="00FA3390">
            <w:pPr>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1D4B1A8B" w14:textId="77777777" w:rsidR="00F25862" w:rsidRPr="00AF23E6" w:rsidRDefault="00F25862" w:rsidP="00F25862">
            <w:pPr>
              <w:widowControl w:val="0"/>
              <w:numPr>
                <w:ilvl w:val="0"/>
                <w:numId w:val="4"/>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Unstable vegetable prices reduce the enthusiasm of farmer groups and the community and can cause losses because they are not commensurate with the capital spent.</w:t>
            </w:r>
          </w:p>
          <w:p w14:paraId="65460B0E" w14:textId="77777777" w:rsidR="00F25862" w:rsidRPr="00AF23E6" w:rsidRDefault="00F25862" w:rsidP="00F25862">
            <w:pPr>
              <w:widowControl w:val="0"/>
              <w:numPr>
                <w:ilvl w:val="0"/>
                <w:numId w:val="4"/>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Climate and weather factors, namely the rainy season, can damage vegetables.</w:t>
            </w:r>
          </w:p>
          <w:p w14:paraId="4B22F9A4" w14:textId="77777777" w:rsidR="00F25862" w:rsidRPr="00AF23E6" w:rsidRDefault="00F25862" w:rsidP="00F25862">
            <w:pPr>
              <w:widowControl w:val="0"/>
              <w:numPr>
                <w:ilvl w:val="0"/>
                <w:numId w:val="4"/>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Pests that interfere with vegetable growth.</w:t>
            </w:r>
          </w:p>
          <w:p w14:paraId="17CFF574" w14:textId="77777777" w:rsidR="00F25862" w:rsidRPr="00AF23E6" w:rsidRDefault="00F25862" w:rsidP="00FA3390">
            <w:pPr>
              <w:widowControl w:val="0"/>
              <w:autoSpaceDE w:val="0"/>
              <w:autoSpaceDN w:val="0"/>
              <w:adjustRightInd w:val="0"/>
              <w:spacing w:line="276" w:lineRule="auto"/>
              <w:contextualSpacing/>
              <w:jc w:val="both"/>
              <w:rPr>
                <w:rFonts w:ascii="Book Antiqua" w:eastAsia="Calibri" w:hAnsi="Book Antiqua" w:cs="Arial"/>
                <w:color w:val="auto"/>
                <w:sz w:val="22"/>
                <w:szCs w:val="22"/>
                <w:lang w:eastAsia="en-US"/>
              </w:rPr>
            </w:pPr>
          </w:p>
        </w:tc>
        <w:tc>
          <w:tcPr>
            <w:tcW w:w="3567" w:type="dxa"/>
            <w:shd w:val="clear" w:color="auto" w:fill="auto"/>
          </w:tcPr>
          <w:p w14:paraId="200813B2"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Strategy S-T</w:t>
            </w:r>
          </w:p>
          <w:p w14:paraId="70E8621C" w14:textId="77777777" w:rsidR="00F25862" w:rsidRPr="00AF23E6" w:rsidRDefault="00F25862" w:rsidP="00FA3390">
            <w:pPr>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1E08D332" w14:textId="77777777" w:rsidR="00F25862" w:rsidRPr="00AF23E6" w:rsidRDefault="00F25862" w:rsidP="00F25862">
            <w:pPr>
              <w:widowControl w:val="0"/>
              <w:numPr>
                <w:ilvl w:val="0"/>
                <w:numId w:val="7"/>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The regional government seeks stability in vegetable prices in the market.</w:t>
            </w:r>
          </w:p>
          <w:p w14:paraId="539AE4ED" w14:textId="77777777" w:rsidR="00F25862" w:rsidRPr="00AF23E6" w:rsidRDefault="00F25862" w:rsidP="00F25862">
            <w:pPr>
              <w:widowControl w:val="0"/>
              <w:numPr>
                <w:ilvl w:val="0"/>
                <w:numId w:val="7"/>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Field Agricultural Extension Officers create active consultation groups related to plant cultivation, making organic fertilizer (composter), how to process food, and how to repel pests so that when a problem occurs a solution can be immediately found and there is no need to wait for the next training program.</w:t>
            </w:r>
          </w:p>
          <w:p w14:paraId="784D480A" w14:textId="77777777" w:rsidR="00F25862" w:rsidRPr="00AF23E6" w:rsidRDefault="00F25862" w:rsidP="00FA3390">
            <w:pPr>
              <w:widowControl w:val="0"/>
              <w:autoSpaceDE w:val="0"/>
              <w:autoSpaceDN w:val="0"/>
              <w:adjustRightInd w:val="0"/>
              <w:spacing w:line="276" w:lineRule="auto"/>
              <w:contextualSpacing/>
              <w:jc w:val="both"/>
              <w:rPr>
                <w:rFonts w:ascii="Book Antiqua" w:eastAsia="Calibri" w:hAnsi="Book Antiqua" w:cs="Arial"/>
                <w:color w:val="auto"/>
                <w:sz w:val="22"/>
                <w:szCs w:val="22"/>
                <w:lang w:eastAsia="en-US"/>
              </w:rPr>
            </w:pPr>
          </w:p>
        </w:tc>
        <w:tc>
          <w:tcPr>
            <w:tcW w:w="2522" w:type="dxa"/>
            <w:shd w:val="clear" w:color="auto" w:fill="auto"/>
          </w:tcPr>
          <w:p w14:paraId="47D18FB5" w14:textId="77777777" w:rsidR="00F25862" w:rsidRPr="00AF23E6" w:rsidRDefault="00F25862" w:rsidP="00FA3390">
            <w:pPr>
              <w:autoSpaceDE w:val="0"/>
              <w:autoSpaceDN w:val="0"/>
              <w:adjustRightInd w:val="0"/>
              <w:spacing w:line="276" w:lineRule="auto"/>
              <w:contextualSpacing/>
              <w:jc w:val="center"/>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Strategy WT</w:t>
            </w:r>
          </w:p>
          <w:p w14:paraId="4D82F822" w14:textId="77777777" w:rsidR="00F25862" w:rsidRPr="00AF23E6" w:rsidRDefault="00F25862" w:rsidP="00FA3390">
            <w:pPr>
              <w:autoSpaceDE w:val="0"/>
              <w:autoSpaceDN w:val="0"/>
              <w:adjustRightInd w:val="0"/>
              <w:spacing w:line="276" w:lineRule="auto"/>
              <w:contextualSpacing/>
              <w:jc w:val="both"/>
              <w:rPr>
                <w:rFonts w:ascii="Book Antiqua" w:eastAsia="Calibri" w:hAnsi="Book Antiqua" w:cs="Arial"/>
                <w:color w:val="auto"/>
                <w:sz w:val="22"/>
                <w:szCs w:val="22"/>
                <w:lang w:eastAsia="en-US"/>
              </w:rPr>
            </w:pPr>
          </w:p>
          <w:p w14:paraId="347600FA" w14:textId="77777777" w:rsidR="00F25862" w:rsidRPr="00AF23E6" w:rsidRDefault="00F25862" w:rsidP="00F25862">
            <w:pPr>
              <w:widowControl w:val="0"/>
              <w:numPr>
                <w:ilvl w:val="0"/>
                <w:numId w:val="8"/>
              </w:numPr>
              <w:suppressAutoHyphens/>
              <w:autoSpaceDE w:val="0"/>
              <w:autoSpaceDN w:val="0"/>
              <w:adjustRightInd w:val="0"/>
              <w:spacing w:line="276" w:lineRule="auto"/>
              <w:ind w:leftChars="-1" w:left="0" w:hangingChars="1" w:hanging="2"/>
              <w:contextualSpacing/>
              <w:jc w:val="both"/>
              <w:textDirection w:val="btLr"/>
              <w:textAlignment w:val="top"/>
              <w:outlineLvl w:val="0"/>
              <w:rPr>
                <w:rFonts w:ascii="Book Antiqua" w:eastAsia="Calibri" w:hAnsi="Book Antiqua" w:cs="Arial"/>
                <w:color w:val="auto"/>
                <w:sz w:val="22"/>
                <w:szCs w:val="22"/>
                <w:lang w:eastAsia="en-US"/>
              </w:rPr>
            </w:pPr>
            <w:r w:rsidRPr="00AF23E6">
              <w:rPr>
                <w:rFonts w:ascii="Book Antiqua" w:eastAsia="Calibri" w:hAnsi="Book Antiqua" w:cs="Arial"/>
                <w:color w:val="auto"/>
                <w:sz w:val="22"/>
                <w:szCs w:val="22"/>
                <w:lang w:eastAsia="en-US"/>
              </w:rPr>
              <w:t>Wide and comprehensive outreach to the community about the importance of food security with the aim of increasing community participation in farmer groups and helping to make the P2L program a success in their respective homes.</w:t>
            </w:r>
          </w:p>
          <w:p w14:paraId="2E103B62" w14:textId="77777777" w:rsidR="00F25862" w:rsidRPr="00AF23E6" w:rsidRDefault="00F25862" w:rsidP="00FA3390">
            <w:pPr>
              <w:widowControl w:val="0"/>
              <w:autoSpaceDE w:val="0"/>
              <w:autoSpaceDN w:val="0"/>
              <w:adjustRightInd w:val="0"/>
              <w:spacing w:line="276" w:lineRule="auto"/>
              <w:ind w:left="344"/>
              <w:contextualSpacing/>
              <w:jc w:val="both"/>
              <w:rPr>
                <w:rFonts w:ascii="Book Antiqua" w:eastAsia="Calibri" w:hAnsi="Book Antiqua" w:cs="Arial"/>
                <w:color w:val="auto"/>
                <w:sz w:val="22"/>
                <w:szCs w:val="22"/>
                <w:lang w:eastAsia="en-US"/>
              </w:rPr>
            </w:pPr>
          </w:p>
        </w:tc>
      </w:tr>
    </w:tbl>
    <w:p w14:paraId="312A2D9E" w14:textId="77777777" w:rsidR="00F25862" w:rsidRPr="00EE1A62" w:rsidRDefault="00F25862" w:rsidP="00F25862">
      <w:pPr>
        <w:tabs>
          <w:tab w:val="left" w:pos="360"/>
        </w:tabs>
        <w:suppressAutoHyphens/>
        <w:spacing w:line="276" w:lineRule="auto"/>
        <w:jc w:val="center"/>
        <w:rPr>
          <w:rFonts w:ascii="Georgia" w:hAnsi="Georgia" w:cs="Arial"/>
          <w:bCs/>
          <w:color w:val="auto"/>
          <w:lang w:eastAsia="en-US"/>
        </w:rPr>
      </w:pPr>
    </w:p>
    <w:p w14:paraId="3A24DD51" w14:textId="77777777" w:rsidR="00F25862" w:rsidRDefault="00F25862" w:rsidP="00F25862">
      <w:pPr>
        <w:tabs>
          <w:tab w:val="left" w:pos="360"/>
        </w:tabs>
        <w:suppressAutoHyphens/>
        <w:spacing w:line="276" w:lineRule="auto"/>
        <w:jc w:val="center"/>
        <w:rPr>
          <w:rFonts w:ascii="Georgia" w:hAnsi="Georgia" w:cs="Arial"/>
          <w:bCs/>
          <w:color w:val="auto"/>
          <w:lang w:eastAsia="en-US"/>
        </w:rPr>
      </w:pPr>
      <w:r w:rsidRPr="00AF23E6">
        <w:rPr>
          <w:rFonts w:ascii="Georgia" w:hAnsi="Georgia" w:cs="Arial"/>
          <w:bCs/>
          <w:color w:val="auto"/>
          <w:lang w:eastAsia="en-US"/>
        </w:rPr>
        <w:t>Table 4. Internal Factor Analysis Summary (IFAS)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992"/>
        <w:gridCol w:w="992"/>
        <w:gridCol w:w="993"/>
      </w:tblGrid>
      <w:tr w:rsidR="00F25862" w:rsidRPr="00AF23E6" w14:paraId="250E2821" w14:textId="77777777" w:rsidTr="00FA3390">
        <w:tc>
          <w:tcPr>
            <w:tcW w:w="6062" w:type="dxa"/>
            <w:shd w:val="clear" w:color="auto" w:fill="auto"/>
          </w:tcPr>
          <w:p w14:paraId="334B3AE0"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bookmarkStart w:id="3" w:name="_Hlk175036817"/>
            <w:r w:rsidRPr="00AF23E6">
              <w:rPr>
                <w:rFonts w:ascii="Book Antiqua" w:eastAsia="Calibri" w:hAnsi="Book Antiqua" w:cs="Arial"/>
                <w:bCs/>
                <w:color w:val="auto"/>
                <w:sz w:val="22"/>
                <w:szCs w:val="22"/>
                <w:lang w:eastAsia="en-US"/>
              </w:rPr>
              <w:t>Internal Factor Analysis Summary (IFAS)</w:t>
            </w:r>
          </w:p>
        </w:tc>
        <w:tc>
          <w:tcPr>
            <w:tcW w:w="992" w:type="dxa"/>
            <w:shd w:val="clear" w:color="auto" w:fill="auto"/>
          </w:tcPr>
          <w:p w14:paraId="681E8408"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Quality </w:t>
            </w:r>
          </w:p>
        </w:tc>
        <w:tc>
          <w:tcPr>
            <w:tcW w:w="992" w:type="dxa"/>
            <w:shd w:val="clear" w:color="auto" w:fill="auto"/>
          </w:tcPr>
          <w:p w14:paraId="75BC0CE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Rating </w:t>
            </w:r>
          </w:p>
        </w:tc>
        <w:tc>
          <w:tcPr>
            <w:tcW w:w="993" w:type="dxa"/>
            <w:shd w:val="clear" w:color="auto" w:fill="auto"/>
          </w:tcPr>
          <w:p w14:paraId="4A471C1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Score</w:t>
            </w:r>
          </w:p>
        </w:tc>
      </w:tr>
      <w:tr w:rsidR="00F25862" w:rsidRPr="00AF23E6" w14:paraId="74460D68" w14:textId="77777777" w:rsidTr="00FA3390">
        <w:tc>
          <w:tcPr>
            <w:tcW w:w="9039" w:type="dxa"/>
            <w:gridSpan w:val="4"/>
            <w:shd w:val="clear" w:color="auto" w:fill="auto"/>
          </w:tcPr>
          <w:p w14:paraId="2B26382E"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proofErr w:type="spellStart"/>
            <w:r w:rsidRPr="00AF23E6">
              <w:rPr>
                <w:rFonts w:ascii="Book Antiqua" w:eastAsia="Calibri" w:hAnsi="Book Antiqua" w:cs="Arial"/>
                <w:bCs/>
                <w:color w:val="auto"/>
                <w:sz w:val="22"/>
                <w:szCs w:val="22"/>
                <w:lang w:eastAsia="en-US"/>
              </w:rPr>
              <w:t>Strenghts</w:t>
            </w:r>
            <w:proofErr w:type="spellEnd"/>
          </w:p>
        </w:tc>
      </w:tr>
      <w:tr w:rsidR="00F25862" w:rsidRPr="00AF23E6" w14:paraId="6AA6137F" w14:textId="77777777" w:rsidTr="00FA3390">
        <w:tc>
          <w:tcPr>
            <w:tcW w:w="6062" w:type="dxa"/>
            <w:shd w:val="clear" w:color="auto" w:fill="auto"/>
          </w:tcPr>
          <w:p w14:paraId="3E7D40AC" w14:textId="77777777" w:rsidR="00F25862" w:rsidRPr="00AF23E6" w:rsidRDefault="00F25862" w:rsidP="00F25862">
            <w:pPr>
              <w:numPr>
                <w:ilvl w:val="0"/>
                <w:numId w:val="9"/>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Agriculture is the main sector in economic development in </w:t>
            </w:r>
            <w:proofErr w:type="spellStart"/>
            <w:r w:rsidRPr="00AF23E6">
              <w:rPr>
                <w:rFonts w:ascii="Book Antiqua" w:eastAsia="Calibri" w:hAnsi="Book Antiqua" w:cs="Arial"/>
                <w:bCs/>
                <w:color w:val="auto"/>
                <w:sz w:val="22"/>
                <w:szCs w:val="22"/>
                <w:lang w:eastAsia="en-US"/>
              </w:rPr>
              <w:t>Tulungagung</w:t>
            </w:r>
            <w:proofErr w:type="spellEnd"/>
            <w:r w:rsidRPr="00AF23E6">
              <w:rPr>
                <w:rFonts w:ascii="Book Antiqua" w:eastAsia="Calibri" w:hAnsi="Book Antiqua" w:cs="Arial"/>
                <w:bCs/>
                <w:color w:val="auto"/>
                <w:sz w:val="22"/>
                <w:szCs w:val="22"/>
                <w:lang w:eastAsia="en-US"/>
              </w:rPr>
              <w:t xml:space="preserve"> Regency, where the </w:t>
            </w:r>
            <w:proofErr w:type="spellStart"/>
            <w:r w:rsidRPr="00AF23E6">
              <w:rPr>
                <w:rFonts w:ascii="Book Antiqua" w:eastAsia="Calibri" w:hAnsi="Book Antiqua" w:cs="Arial"/>
                <w:bCs/>
                <w:color w:val="auto"/>
                <w:sz w:val="22"/>
                <w:szCs w:val="22"/>
                <w:lang w:eastAsia="en-US"/>
              </w:rPr>
              <w:t>Tulungagung</w:t>
            </w:r>
            <w:proofErr w:type="spellEnd"/>
            <w:r w:rsidRPr="00AF23E6">
              <w:rPr>
                <w:rFonts w:ascii="Book Antiqua" w:eastAsia="Calibri" w:hAnsi="Book Antiqua" w:cs="Arial"/>
                <w:bCs/>
                <w:color w:val="auto"/>
                <w:sz w:val="22"/>
                <w:szCs w:val="22"/>
                <w:lang w:eastAsia="en-US"/>
              </w:rPr>
              <w:t xml:space="preserve"> area is an agricultural area so it is suitable for placing the agricultural sector as a leading sector.</w:t>
            </w:r>
          </w:p>
          <w:p w14:paraId="6626E3EB" w14:textId="77777777" w:rsidR="00F25862" w:rsidRPr="00AF23E6" w:rsidRDefault="00F25862" w:rsidP="00F25862">
            <w:pPr>
              <w:numPr>
                <w:ilvl w:val="0"/>
                <w:numId w:val="9"/>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Relevant stakeholders (Food Security Service, Agriculture Service, Agricultural Extension Center, and Field Agricultural Instructors) provide guidance and training related to plant cultivation, making organic fertilizer (composter), training on processed food, and training on repelling pests.</w:t>
            </w:r>
          </w:p>
          <w:p w14:paraId="7D029B9D" w14:textId="77777777" w:rsidR="00F25862" w:rsidRPr="00AF23E6" w:rsidRDefault="00F25862" w:rsidP="00F25862">
            <w:pPr>
              <w:numPr>
                <w:ilvl w:val="0"/>
                <w:numId w:val="9"/>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Field Agricultural Extension Officers assist and accompany the registration of Farmer Groups to the Processing and Marketing Group.</w:t>
            </w:r>
          </w:p>
          <w:p w14:paraId="6818CFCB" w14:textId="77777777" w:rsidR="00F25862" w:rsidRPr="00AF23E6" w:rsidRDefault="00F25862" w:rsidP="00F25862">
            <w:pPr>
              <w:numPr>
                <w:ilvl w:val="0"/>
                <w:numId w:val="9"/>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Farmer groups in </w:t>
            </w:r>
            <w:proofErr w:type="spellStart"/>
            <w:r w:rsidRPr="00AF23E6">
              <w:rPr>
                <w:rFonts w:ascii="Book Antiqua" w:eastAsia="Calibri" w:hAnsi="Book Antiqua" w:cs="Arial"/>
                <w:bCs/>
                <w:color w:val="auto"/>
                <w:sz w:val="22"/>
                <w:szCs w:val="22"/>
                <w:lang w:eastAsia="en-US"/>
              </w:rPr>
              <w:t>Tulungagung</w:t>
            </w:r>
            <w:proofErr w:type="spellEnd"/>
            <w:r w:rsidRPr="00AF23E6">
              <w:rPr>
                <w:rFonts w:ascii="Book Antiqua" w:eastAsia="Calibri" w:hAnsi="Book Antiqua" w:cs="Arial"/>
                <w:bCs/>
                <w:color w:val="auto"/>
                <w:sz w:val="22"/>
                <w:szCs w:val="22"/>
                <w:lang w:eastAsia="en-US"/>
              </w:rPr>
              <w:t xml:space="preserve"> Regency are largely able to determine the needs of administrators and voters who are appointed as administrators. The Field Agricultural Extension Officer only provides assistances. </w:t>
            </w:r>
          </w:p>
          <w:p w14:paraId="1AE87F08" w14:textId="77777777" w:rsidR="00F25862" w:rsidRPr="00AF23E6" w:rsidRDefault="00F25862" w:rsidP="00F25862">
            <w:pPr>
              <w:numPr>
                <w:ilvl w:val="0"/>
                <w:numId w:val="9"/>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Field Agricultural Extension Officers give full authority to farmer groups to manage income such as levies that go into the treasury. The results of the distribution can be managed to be lent to members of farmer groups as an effort to help with capital and development.</w:t>
            </w:r>
          </w:p>
          <w:p w14:paraId="645E190A" w14:textId="77777777" w:rsidR="00F25862" w:rsidRPr="00AF23E6" w:rsidRDefault="00F25862" w:rsidP="00FA3390">
            <w:pPr>
              <w:tabs>
                <w:tab w:val="left" w:pos="360"/>
              </w:tabs>
              <w:suppressAutoHyphens/>
              <w:spacing w:line="276" w:lineRule="auto"/>
              <w:ind w:left="426"/>
              <w:jc w:val="both"/>
              <w:rPr>
                <w:rFonts w:ascii="Book Antiqua" w:eastAsia="Calibri" w:hAnsi="Book Antiqua" w:cs="Arial"/>
                <w:bCs/>
                <w:color w:val="auto"/>
                <w:sz w:val="22"/>
                <w:szCs w:val="22"/>
                <w:lang w:eastAsia="en-US"/>
              </w:rPr>
            </w:pPr>
          </w:p>
        </w:tc>
        <w:tc>
          <w:tcPr>
            <w:tcW w:w="992" w:type="dxa"/>
            <w:shd w:val="clear" w:color="auto" w:fill="auto"/>
          </w:tcPr>
          <w:p w14:paraId="08F38B3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0,20</w:t>
            </w:r>
          </w:p>
          <w:p w14:paraId="0231B7F9"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486B74E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D7039D4"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p>
          <w:p w14:paraId="3567532E"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0,20</w:t>
            </w:r>
          </w:p>
          <w:p w14:paraId="57EEEB65"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3C959D0"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E87250D"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1A54F2D"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DDB1098"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1818673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0,10</w:t>
            </w:r>
          </w:p>
          <w:p w14:paraId="7B3D9A86"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55E013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26067AE"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0,10</w:t>
            </w:r>
          </w:p>
          <w:p w14:paraId="47763E80"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1E488880"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FA9525E"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7DC9BF0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FB187EB"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0,10</w:t>
            </w:r>
          </w:p>
        </w:tc>
        <w:tc>
          <w:tcPr>
            <w:tcW w:w="992" w:type="dxa"/>
            <w:shd w:val="clear" w:color="auto" w:fill="auto"/>
          </w:tcPr>
          <w:p w14:paraId="18B81445"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3</w:t>
            </w:r>
          </w:p>
          <w:p w14:paraId="68EE62F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1C58B8DD"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p>
          <w:p w14:paraId="12B8C32A"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523E3AB"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3</w:t>
            </w:r>
          </w:p>
          <w:p w14:paraId="5CE206EA"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6301925"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E418DF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13F0EBD2"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1C9380A7"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1BB4455"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3</w:t>
            </w:r>
          </w:p>
          <w:p w14:paraId="68395D86"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7BC5C60D"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D4BE1E6"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2</w:t>
            </w:r>
          </w:p>
          <w:p w14:paraId="13261417"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6DD809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A9BBAB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7357A4D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45CF268"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2</w:t>
            </w:r>
          </w:p>
        </w:tc>
        <w:tc>
          <w:tcPr>
            <w:tcW w:w="993" w:type="dxa"/>
            <w:shd w:val="clear" w:color="auto" w:fill="auto"/>
          </w:tcPr>
          <w:p w14:paraId="7CCC28C3"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0,60</w:t>
            </w:r>
          </w:p>
          <w:p w14:paraId="3F44CEC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4DBC9D27"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7E5AF3E"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2180C1B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393EA9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0,60</w:t>
            </w:r>
          </w:p>
          <w:p w14:paraId="3C9C42CE"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1BBB466"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2904858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2D84133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EE115A5"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0,30</w:t>
            </w:r>
          </w:p>
          <w:p w14:paraId="5C08226C"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F1D6E03"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7124EB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0,20</w:t>
            </w:r>
          </w:p>
          <w:p w14:paraId="4461C1D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7555C092"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75C9AA1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48ECA02"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04E89B9A"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0,20</w:t>
            </w:r>
          </w:p>
        </w:tc>
      </w:tr>
      <w:tr w:rsidR="00F25862" w:rsidRPr="00AF23E6" w14:paraId="3753D3CE" w14:textId="77777777" w:rsidTr="00FA3390">
        <w:tc>
          <w:tcPr>
            <w:tcW w:w="8046" w:type="dxa"/>
            <w:gridSpan w:val="3"/>
            <w:shd w:val="clear" w:color="auto" w:fill="auto"/>
          </w:tcPr>
          <w:p w14:paraId="0046E3F4"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lastRenderedPageBreak/>
              <w:t xml:space="preserve">Total Score </w:t>
            </w:r>
            <w:proofErr w:type="spellStart"/>
            <w:r w:rsidRPr="00AF23E6">
              <w:rPr>
                <w:rFonts w:ascii="Book Antiqua" w:eastAsia="Calibri" w:hAnsi="Book Antiqua" w:cs="Arial"/>
                <w:bCs/>
                <w:color w:val="auto"/>
                <w:sz w:val="22"/>
                <w:szCs w:val="22"/>
                <w:lang w:eastAsia="en-US"/>
              </w:rPr>
              <w:t>Strenghts</w:t>
            </w:r>
            <w:proofErr w:type="spellEnd"/>
          </w:p>
        </w:tc>
        <w:tc>
          <w:tcPr>
            <w:tcW w:w="993" w:type="dxa"/>
            <w:shd w:val="clear" w:color="auto" w:fill="auto"/>
          </w:tcPr>
          <w:p w14:paraId="3AA3C1E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1,90</w:t>
            </w:r>
          </w:p>
        </w:tc>
      </w:tr>
      <w:tr w:rsidR="00F25862" w:rsidRPr="00AF23E6" w14:paraId="3591BCCF" w14:textId="77777777" w:rsidTr="00FA3390">
        <w:tc>
          <w:tcPr>
            <w:tcW w:w="9039" w:type="dxa"/>
            <w:gridSpan w:val="4"/>
            <w:shd w:val="clear" w:color="auto" w:fill="auto"/>
          </w:tcPr>
          <w:p w14:paraId="25F14FDE"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Weaknesses</w:t>
            </w:r>
          </w:p>
        </w:tc>
      </w:tr>
      <w:tr w:rsidR="00F25862" w:rsidRPr="00AF23E6" w14:paraId="53E47716" w14:textId="77777777" w:rsidTr="00FA3390">
        <w:tc>
          <w:tcPr>
            <w:tcW w:w="6062" w:type="dxa"/>
            <w:shd w:val="clear" w:color="auto" w:fill="auto"/>
          </w:tcPr>
          <w:p w14:paraId="33051DC7" w14:textId="77777777" w:rsidR="00F25862" w:rsidRPr="00AF23E6" w:rsidRDefault="00F25862" w:rsidP="00F25862">
            <w:pPr>
              <w:numPr>
                <w:ilvl w:val="0"/>
                <w:numId w:val="10"/>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The human resources of Farmer Group members tend to be low, seen from the level of education, the majority of whom are elementary school and junior high school graduates. This low level of human resources is an obstacle to accelerating the P2L program. </w:t>
            </w:r>
          </w:p>
          <w:p w14:paraId="66542731" w14:textId="77777777" w:rsidR="00F25862" w:rsidRPr="00AF23E6" w:rsidRDefault="00F25862" w:rsidP="00F25862">
            <w:pPr>
              <w:numPr>
                <w:ilvl w:val="0"/>
                <w:numId w:val="10"/>
              </w:numPr>
              <w:tabs>
                <w:tab w:val="left" w:pos="360"/>
              </w:tabs>
              <w:suppressAutoHyphens/>
              <w:spacing w:line="276" w:lineRule="auto"/>
              <w:ind w:leftChars="-1" w:left="0" w:hangingChars="1" w:hanging="2"/>
              <w:jc w:val="both"/>
              <w:textDirection w:val="btLr"/>
              <w:textAlignment w:val="top"/>
              <w:outlineLvl w:val="0"/>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 xml:space="preserve">Marketing of P2L program results is still within the scope of traditional markets in </w:t>
            </w:r>
            <w:proofErr w:type="spellStart"/>
            <w:r w:rsidRPr="00AF23E6">
              <w:rPr>
                <w:rFonts w:ascii="Book Antiqua" w:eastAsia="Calibri" w:hAnsi="Book Antiqua" w:cs="Arial"/>
                <w:bCs/>
                <w:color w:val="auto"/>
                <w:sz w:val="22"/>
                <w:szCs w:val="22"/>
                <w:lang w:eastAsia="en-US"/>
              </w:rPr>
              <w:t>Tulungagung</w:t>
            </w:r>
            <w:proofErr w:type="spellEnd"/>
            <w:r w:rsidRPr="00AF23E6">
              <w:rPr>
                <w:rFonts w:ascii="Book Antiqua" w:eastAsia="Calibri" w:hAnsi="Book Antiqua" w:cs="Arial"/>
                <w:bCs/>
                <w:color w:val="auto"/>
                <w:sz w:val="22"/>
                <w:szCs w:val="22"/>
                <w:lang w:eastAsia="en-US"/>
              </w:rPr>
              <w:t xml:space="preserve"> Regency, so expansion and promotion are needed to increase sales volume and income.</w:t>
            </w:r>
          </w:p>
          <w:p w14:paraId="45708314"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p>
        </w:tc>
        <w:tc>
          <w:tcPr>
            <w:tcW w:w="992" w:type="dxa"/>
            <w:shd w:val="clear" w:color="auto" w:fill="auto"/>
          </w:tcPr>
          <w:p w14:paraId="08616EE9"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0,15</w:t>
            </w:r>
          </w:p>
          <w:p w14:paraId="1CE88F8D"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20D7E2D3"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p>
          <w:p w14:paraId="152580E3"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ACE3BD6"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34DA6380"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0,15</w:t>
            </w:r>
          </w:p>
        </w:tc>
        <w:tc>
          <w:tcPr>
            <w:tcW w:w="992" w:type="dxa"/>
            <w:shd w:val="clear" w:color="auto" w:fill="auto"/>
          </w:tcPr>
          <w:p w14:paraId="3927E869"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3</w:t>
            </w:r>
          </w:p>
          <w:p w14:paraId="4B0BE5DA"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227DB0A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4AEE5241"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p>
          <w:p w14:paraId="33D656D0"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40CD432D"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2</w:t>
            </w:r>
          </w:p>
        </w:tc>
        <w:tc>
          <w:tcPr>
            <w:tcW w:w="993" w:type="dxa"/>
            <w:shd w:val="clear" w:color="auto" w:fill="auto"/>
          </w:tcPr>
          <w:p w14:paraId="1D96F87B"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(0,45)</w:t>
            </w:r>
          </w:p>
          <w:p w14:paraId="43C74613"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4ED8140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528440AE" w14:textId="77777777" w:rsidR="00F25862" w:rsidRPr="00AF23E6" w:rsidRDefault="00F25862" w:rsidP="00FA3390">
            <w:pPr>
              <w:tabs>
                <w:tab w:val="left" w:pos="360"/>
              </w:tabs>
              <w:suppressAutoHyphens/>
              <w:spacing w:line="276" w:lineRule="auto"/>
              <w:rPr>
                <w:rFonts w:ascii="Book Antiqua" w:eastAsia="Calibri" w:hAnsi="Book Antiqua" w:cs="Arial"/>
                <w:bCs/>
                <w:color w:val="auto"/>
                <w:sz w:val="22"/>
                <w:szCs w:val="22"/>
                <w:lang w:eastAsia="en-US"/>
              </w:rPr>
            </w:pPr>
          </w:p>
          <w:p w14:paraId="36B236A4"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p>
          <w:p w14:paraId="6DE70CD7"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(0,30)</w:t>
            </w:r>
          </w:p>
        </w:tc>
      </w:tr>
      <w:tr w:rsidR="00F25862" w:rsidRPr="00AF23E6" w14:paraId="66A313F4" w14:textId="77777777" w:rsidTr="00FA3390">
        <w:tc>
          <w:tcPr>
            <w:tcW w:w="8046" w:type="dxa"/>
            <w:gridSpan w:val="3"/>
            <w:shd w:val="clear" w:color="auto" w:fill="auto"/>
          </w:tcPr>
          <w:p w14:paraId="7EB95EE1"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Total Score Weaknesses</w:t>
            </w:r>
          </w:p>
        </w:tc>
        <w:tc>
          <w:tcPr>
            <w:tcW w:w="993" w:type="dxa"/>
            <w:shd w:val="clear" w:color="auto" w:fill="auto"/>
          </w:tcPr>
          <w:p w14:paraId="2879E06A"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(0,75)</w:t>
            </w:r>
          </w:p>
        </w:tc>
      </w:tr>
      <w:tr w:rsidR="00F25862" w:rsidRPr="00AF23E6" w14:paraId="5BEF49E0" w14:textId="77777777" w:rsidTr="00FA3390">
        <w:tc>
          <w:tcPr>
            <w:tcW w:w="6062" w:type="dxa"/>
            <w:shd w:val="clear" w:color="auto" w:fill="auto"/>
          </w:tcPr>
          <w:p w14:paraId="1941627E" w14:textId="77777777" w:rsidR="00F25862" w:rsidRPr="00AF23E6" w:rsidRDefault="00F25862" w:rsidP="00FA3390">
            <w:pPr>
              <w:tabs>
                <w:tab w:val="left" w:pos="360"/>
              </w:tabs>
              <w:suppressAutoHyphens/>
              <w:spacing w:line="276" w:lineRule="auto"/>
              <w:jc w:val="both"/>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Total Score IFAS</w:t>
            </w:r>
          </w:p>
        </w:tc>
        <w:tc>
          <w:tcPr>
            <w:tcW w:w="992" w:type="dxa"/>
            <w:shd w:val="clear" w:color="auto" w:fill="auto"/>
          </w:tcPr>
          <w:p w14:paraId="7C6C2FFF"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1,00</w:t>
            </w:r>
          </w:p>
        </w:tc>
        <w:tc>
          <w:tcPr>
            <w:tcW w:w="992" w:type="dxa"/>
            <w:shd w:val="clear" w:color="auto" w:fill="auto"/>
          </w:tcPr>
          <w:p w14:paraId="5D7A3AA1"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w:t>
            </w:r>
          </w:p>
        </w:tc>
        <w:tc>
          <w:tcPr>
            <w:tcW w:w="993" w:type="dxa"/>
            <w:shd w:val="clear" w:color="auto" w:fill="auto"/>
          </w:tcPr>
          <w:p w14:paraId="35280908" w14:textId="77777777" w:rsidR="00F25862" w:rsidRPr="00AF23E6" w:rsidRDefault="00F25862" w:rsidP="00FA3390">
            <w:pPr>
              <w:tabs>
                <w:tab w:val="left" w:pos="360"/>
              </w:tabs>
              <w:suppressAutoHyphens/>
              <w:spacing w:line="276" w:lineRule="auto"/>
              <w:jc w:val="center"/>
              <w:rPr>
                <w:rFonts w:ascii="Book Antiqua" w:eastAsia="Calibri" w:hAnsi="Book Antiqua" w:cs="Arial"/>
                <w:bCs/>
                <w:color w:val="auto"/>
                <w:sz w:val="22"/>
                <w:szCs w:val="22"/>
                <w:lang w:eastAsia="en-US"/>
              </w:rPr>
            </w:pPr>
            <w:r w:rsidRPr="00AF23E6">
              <w:rPr>
                <w:rFonts w:ascii="Book Antiqua" w:eastAsia="Calibri" w:hAnsi="Book Antiqua" w:cs="Arial"/>
                <w:bCs/>
                <w:color w:val="auto"/>
                <w:sz w:val="22"/>
                <w:szCs w:val="22"/>
                <w:lang w:eastAsia="en-US"/>
              </w:rPr>
              <w:t>1,15</w:t>
            </w:r>
          </w:p>
        </w:tc>
      </w:tr>
      <w:bookmarkEnd w:id="3"/>
    </w:tbl>
    <w:p w14:paraId="05F20BA4" w14:textId="77777777" w:rsidR="00F25862" w:rsidRDefault="00F25862" w:rsidP="00F25862">
      <w:pPr>
        <w:tabs>
          <w:tab w:val="left" w:pos="360"/>
        </w:tabs>
        <w:suppressAutoHyphens/>
        <w:spacing w:line="276" w:lineRule="auto"/>
        <w:jc w:val="center"/>
        <w:rPr>
          <w:rFonts w:ascii="Arial" w:hAnsi="Arial" w:cs="Arial"/>
          <w:b/>
          <w:color w:val="auto"/>
          <w:lang w:eastAsia="en-US"/>
        </w:rPr>
      </w:pPr>
    </w:p>
    <w:p w14:paraId="31B55052" w14:textId="77777777" w:rsidR="00F25862" w:rsidRDefault="00F25862" w:rsidP="00F25862">
      <w:pPr>
        <w:tabs>
          <w:tab w:val="left" w:pos="360"/>
        </w:tabs>
        <w:suppressAutoHyphens/>
        <w:spacing w:line="276" w:lineRule="auto"/>
        <w:jc w:val="center"/>
        <w:rPr>
          <w:rFonts w:ascii="Georgia" w:hAnsi="Georgia" w:cs="Arial"/>
          <w:bCs/>
          <w:color w:val="auto"/>
          <w:lang w:eastAsia="en-US"/>
        </w:rPr>
      </w:pPr>
      <w:r w:rsidRPr="00AF23E6">
        <w:rPr>
          <w:rFonts w:ascii="Georgia" w:hAnsi="Georgia" w:cs="Arial"/>
          <w:bCs/>
          <w:color w:val="auto"/>
          <w:lang w:eastAsia="en-US"/>
        </w:rPr>
        <w:t>Table 5</w:t>
      </w:r>
      <w:r>
        <w:rPr>
          <w:rFonts w:ascii="Georgia" w:hAnsi="Georgia" w:cs="Arial"/>
          <w:bCs/>
          <w:color w:val="auto"/>
          <w:lang w:eastAsia="en-US"/>
        </w:rPr>
        <w:t>.</w:t>
      </w:r>
      <w:r w:rsidRPr="00AF23E6">
        <w:rPr>
          <w:rFonts w:ascii="Georgia" w:hAnsi="Georgia" w:cs="Arial"/>
          <w:bCs/>
          <w:color w:val="auto"/>
          <w:lang w:eastAsia="en-US"/>
        </w:rPr>
        <w:t xml:space="preserve"> External Factor Analysis Summary (EFAS)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992"/>
        <w:gridCol w:w="992"/>
        <w:gridCol w:w="993"/>
      </w:tblGrid>
      <w:tr w:rsidR="00F25862" w:rsidRPr="00AF23E6" w14:paraId="6BDDE625" w14:textId="77777777" w:rsidTr="00FA3390">
        <w:tc>
          <w:tcPr>
            <w:tcW w:w="6062" w:type="dxa"/>
            <w:shd w:val="clear" w:color="auto" w:fill="auto"/>
          </w:tcPr>
          <w:p w14:paraId="13D7270B" w14:textId="77777777" w:rsidR="00F25862" w:rsidRPr="00AF23E6" w:rsidRDefault="00F25862" w:rsidP="00FA3390">
            <w:pPr>
              <w:tabs>
                <w:tab w:val="left" w:pos="360"/>
              </w:tabs>
              <w:spacing w:line="276" w:lineRule="auto"/>
              <w:rPr>
                <w:rFonts w:ascii="Book Antiqua" w:eastAsia="Calibri" w:hAnsi="Book Antiqua" w:cs="Arial"/>
                <w:bCs/>
                <w:sz w:val="22"/>
                <w:szCs w:val="22"/>
              </w:rPr>
            </w:pPr>
            <w:r w:rsidRPr="00AF23E6">
              <w:rPr>
                <w:rFonts w:ascii="Book Antiqua" w:eastAsia="Calibri" w:hAnsi="Book Antiqua" w:cs="Arial"/>
                <w:bCs/>
                <w:sz w:val="22"/>
                <w:szCs w:val="22"/>
              </w:rPr>
              <w:t>External Factor Analysis Summary (IFAS)</w:t>
            </w:r>
          </w:p>
        </w:tc>
        <w:tc>
          <w:tcPr>
            <w:tcW w:w="992" w:type="dxa"/>
            <w:shd w:val="clear" w:color="auto" w:fill="auto"/>
          </w:tcPr>
          <w:p w14:paraId="40018EE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 xml:space="preserve">Quality </w:t>
            </w:r>
          </w:p>
        </w:tc>
        <w:tc>
          <w:tcPr>
            <w:tcW w:w="992" w:type="dxa"/>
            <w:shd w:val="clear" w:color="auto" w:fill="auto"/>
          </w:tcPr>
          <w:p w14:paraId="16D375A8"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 xml:space="preserve">Rating </w:t>
            </w:r>
          </w:p>
        </w:tc>
        <w:tc>
          <w:tcPr>
            <w:tcW w:w="993" w:type="dxa"/>
            <w:shd w:val="clear" w:color="auto" w:fill="auto"/>
          </w:tcPr>
          <w:p w14:paraId="495563AE"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Score</w:t>
            </w:r>
          </w:p>
        </w:tc>
      </w:tr>
      <w:tr w:rsidR="00F25862" w:rsidRPr="00AF23E6" w14:paraId="4ED0C92B" w14:textId="77777777" w:rsidTr="00FA3390">
        <w:tc>
          <w:tcPr>
            <w:tcW w:w="9039" w:type="dxa"/>
            <w:gridSpan w:val="4"/>
            <w:shd w:val="clear" w:color="auto" w:fill="auto"/>
          </w:tcPr>
          <w:p w14:paraId="3AD314C6"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r w:rsidRPr="00AF23E6">
              <w:rPr>
                <w:rFonts w:ascii="Book Antiqua" w:eastAsia="Calibri" w:hAnsi="Book Antiqua" w:cs="Arial"/>
                <w:bCs/>
                <w:sz w:val="22"/>
                <w:szCs w:val="22"/>
              </w:rPr>
              <w:t>Opportunities</w:t>
            </w:r>
          </w:p>
        </w:tc>
      </w:tr>
      <w:tr w:rsidR="00F25862" w:rsidRPr="00AF23E6" w14:paraId="1ACF596D" w14:textId="77777777" w:rsidTr="00FA3390">
        <w:tc>
          <w:tcPr>
            <w:tcW w:w="6062" w:type="dxa"/>
            <w:shd w:val="clear" w:color="auto" w:fill="auto"/>
          </w:tcPr>
          <w:p w14:paraId="3AC25D46" w14:textId="77777777" w:rsidR="00F25862" w:rsidRPr="00AF23E6" w:rsidRDefault="00F25862" w:rsidP="00F25862">
            <w:pPr>
              <w:numPr>
                <w:ilvl w:val="0"/>
                <w:numId w:val="11"/>
              </w:numPr>
              <w:tabs>
                <w:tab w:val="left" w:pos="360"/>
              </w:tabs>
              <w:spacing w:line="276" w:lineRule="auto"/>
              <w:ind w:left="426"/>
              <w:jc w:val="both"/>
              <w:rPr>
                <w:rFonts w:ascii="Book Antiqua" w:eastAsia="Calibri" w:hAnsi="Book Antiqua" w:cs="Arial"/>
                <w:bCs/>
                <w:sz w:val="22"/>
                <w:szCs w:val="22"/>
              </w:rPr>
            </w:pPr>
            <w:r w:rsidRPr="00AF23E6">
              <w:rPr>
                <w:rFonts w:ascii="Book Antiqua" w:eastAsia="Calibri" w:hAnsi="Book Antiqua" w:cs="Arial"/>
                <w:bCs/>
                <w:sz w:val="22"/>
                <w:szCs w:val="22"/>
              </w:rPr>
              <w:t>Triple helix support from the government (Food Security Service, Agricultural Extension Center, Village Government); from the private sector (BRI), and the community (Institute for Community Empowerment, environmental youth leaders) to realize food security and develop village potential, such as creating educational vegetable agrotourism.</w:t>
            </w:r>
          </w:p>
          <w:p w14:paraId="4D811A6C" w14:textId="77777777" w:rsidR="00F25862" w:rsidRPr="00AF23E6" w:rsidRDefault="00F25862" w:rsidP="00F25862">
            <w:pPr>
              <w:numPr>
                <w:ilvl w:val="0"/>
                <w:numId w:val="11"/>
              </w:numPr>
              <w:tabs>
                <w:tab w:val="left" w:pos="360"/>
              </w:tabs>
              <w:spacing w:line="276" w:lineRule="auto"/>
              <w:ind w:left="426"/>
              <w:jc w:val="both"/>
              <w:rPr>
                <w:rFonts w:ascii="Book Antiqua" w:eastAsia="Calibri" w:hAnsi="Book Antiqua" w:cs="Arial"/>
                <w:bCs/>
                <w:sz w:val="22"/>
                <w:szCs w:val="22"/>
              </w:rPr>
            </w:pPr>
            <w:r w:rsidRPr="00AF23E6">
              <w:rPr>
                <w:rFonts w:ascii="Book Antiqua" w:eastAsia="Calibri" w:hAnsi="Book Antiqua" w:cs="Arial"/>
                <w:bCs/>
                <w:sz w:val="22"/>
                <w:szCs w:val="22"/>
              </w:rPr>
              <w:lastRenderedPageBreak/>
              <w:t>Enthusiasm from farmer groups and the community for farming, community service, and holding regular group meetings as a means of monitoring and evaluating the P2L program.</w:t>
            </w:r>
          </w:p>
          <w:p w14:paraId="6CDF92D3" w14:textId="77777777" w:rsidR="00F25862" w:rsidRPr="00AF23E6" w:rsidRDefault="00F25862" w:rsidP="00F25862">
            <w:pPr>
              <w:numPr>
                <w:ilvl w:val="0"/>
                <w:numId w:val="11"/>
              </w:numPr>
              <w:tabs>
                <w:tab w:val="left" w:pos="360"/>
              </w:tabs>
              <w:spacing w:line="276" w:lineRule="auto"/>
              <w:ind w:left="426"/>
              <w:jc w:val="both"/>
              <w:rPr>
                <w:rFonts w:ascii="Book Antiqua" w:eastAsia="Calibri" w:hAnsi="Book Antiqua" w:cs="Arial"/>
                <w:bCs/>
                <w:sz w:val="22"/>
                <w:szCs w:val="22"/>
              </w:rPr>
            </w:pPr>
            <w:r w:rsidRPr="00AF23E6">
              <w:rPr>
                <w:rFonts w:ascii="Book Antiqua" w:eastAsia="Calibri" w:hAnsi="Book Antiqua" w:cs="Arial"/>
                <w:bCs/>
                <w:sz w:val="22"/>
                <w:szCs w:val="22"/>
              </w:rPr>
              <w:t xml:space="preserve">P2L Program as an effort to encourage independence and food security for families and the </w:t>
            </w:r>
            <w:proofErr w:type="spellStart"/>
            <w:r w:rsidRPr="00AF23E6">
              <w:rPr>
                <w:rFonts w:ascii="Book Antiqua" w:eastAsia="Calibri" w:hAnsi="Book Antiqua" w:cs="Arial"/>
                <w:bCs/>
                <w:sz w:val="22"/>
                <w:szCs w:val="22"/>
              </w:rPr>
              <w:t>Tulungagung</w:t>
            </w:r>
            <w:proofErr w:type="spellEnd"/>
            <w:r w:rsidRPr="00AF23E6">
              <w:rPr>
                <w:rFonts w:ascii="Book Antiqua" w:eastAsia="Calibri" w:hAnsi="Book Antiqua" w:cs="Arial"/>
                <w:bCs/>
                <w:sz w:val="22"/>
                <w:szCs w:val="22"/>
              </w:rPr>
              <w:t xml:space="preserve"> Regency Community.</w:t>
            </w:r>
          </w:p>
          <w:p w14:paraId="58109094"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p>
        </w:tc>
        <w:tc>
          <w:tcPr>
            <w:tcW w:w="992" w:type="dxa"/>
            <w:shd w:val="clear" w:color="auto" w:fill="auto"/>
          </w:tcPr>
          <w:p w14:paraId="0E875536"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0,20</w:t>
            </w:r>
          </w:p>
          <w:p w14:paraId="78DCAB1E"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49D8812"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A7A0336"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5DA254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CD5F062"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3673D1A5"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43E6C1A"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0,20</w:t>
            </w:r>
          </w:p>
          <w:p w14:paraId="39C5EE06"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9492814"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0693878C"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4C3B822"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0,20</w:t>
            </w:r>
          </w:p>
        </w:tc>
        <w:tc>
          <w:tcPr>
            <w:tcW w:w="992" w:type="dxa"/>
            <w:shd w:val="clear" w:color="auto" w:fill="auto"/>
          </w:tcPr>
          <w:p w14:paraId="437BEBFC"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3</w:t>
            </w:r>
          </w:p>
          <w:p w14:paraId="0418F127"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BE80709"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F62C202"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2AB9831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29E7FF2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4351CB1"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49A86B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3</w:t>
            </w:r>
          </w:p>
          <w:p w14:paraId="77301C0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0BB16104"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2EE389C8"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A298164"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3</w:t>
            </w:r>
          </w:p>
        </w:tc>
        <w:tc>
          <w:tcPr>
            <w:tcW w:w="993" w:type="dxa"/>
            <w:shd w:val="clear" w:color="auto" w:fill="auto"/>
          </w:tcPr>
          <w:p w14:paraId="5555BAF5"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0,60</w:t>
            </w:r>
          </w:p>
          <w:p w14:paraId="54F23CD8"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C14FD4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C44E886"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A99602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90B9628"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C8C677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3169AEB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lastRenderedPageBreak/>
              <w:t>0,60</w:t>
            </w:r>
          </w:p>
          <w:p w14:paraId="3E5FCFA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CAF516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6CD3AF2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0FF3E61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0,60</w:t>
            </w:r>
          </w:p>
        </w:tc>
      </w:tr>
      <w:tr w:rsidR="00F25862" w:rsidRPr="00AF23E6" w14:paraId="061086E1" w14:textId="77777777" w:rsidTr="00FA3390">
        <w:tc>
          <w:tcPr>
            <w:tcW w:w="8046" w:type="dxa"/>
            <w:gridSpan w:val="3"/>
            <w:shd w:val="clear" w:color="auto" w:fill="auto"/>
          </w:tcPr>
          <w:p w14:paraId="1FA6663E"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r w:rsidRPr="00AF23E6">
              <w:rPr>
                <w:rFonts w:ascii="Book Antiqua" w:eastAsia="Calibri" w:hAnsi="Book Antiqua" w:cs="Arial"/>
                <w:bCs/>
                <w:sz w:val="22"/>
                <w:szCs w:val="22"/>
              </w:rPr>
              <w:lastRenderedPageBreak/>
              <w:t>Total Score Opportunities</w:t>
            </w:r>
          </w:p>
        </w:tc>
        <w:tc>
          <w:tcPr>
            <w:tcW w:w="993" w:type="dxa"/>
            <w:shd w:val="clear" w:color="auto" w:fill="auto"/>
          </w:tcPr>
          <w:p w14:paraId="4DAD227A"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1,80</w:t>
            </w:r>
          </w:p>
        </w:tc>
      </w:tr>
      <w:tr w:rsidR="00F25862" w:rsidRPr="00AF23E6" w14:paraId="4D5C746E" w14:textId="77777777" w:rsidTr="00FA3390">
        <w:tc>
          <w:tcPr>
            <w:tcW w:w="9039" w:type="dxa"/>
            <w:gridSpan w:val="4"/>
            <w:shd w:val="clear" w:color="auto" w:fill="auto"/>
          </w:tcPr>
          <w:p w14:paraId="43131013"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r w:rsidRPr="00AF23E6">
              <w:rPr>
                <w:rFonts w:ascii="Book Antiqua" w:eastAsia="Calibri" w:hAnsi="Book Antiqua" w:cs="Arial"/>
                <w:bCs/>
                <w:sz w:val="22"/>
                <w:szCs w:val="22"/>
              </w:rPr>
              <w:t>Threats</w:t>
            </w:r>
          </w:p>
        </w:tc>
      </w:tr>
      <w:tr w:rsidR="00F25862" w:rsidRPr="00AF23E6" w14:paraId="6A4F784C" w14:textId="77777777" w:rsidTr="00FA3390">
        <w:tc>
          <w:tcPr>
            <w:tcW w:w="6062" w:type="dxa"/>
            <w:shd w:val="clear" w:color="auto" w:fill="auto"/>
          </w:tcPr>
          <w:p w14:paraId="6EEB7D65" w14:textId="77777777" w:rsidR="00F25862" w:rsidRPr="00AF23E6" w:rsidRDefault="00F25862" w:rsidP="00F25862">
            <w:pPr>
              <w:numPr>
                <w:ilvl w:val="0"/>
                <w:numId w:val="12"/>
              </w:numPr>
              <w:tabs>
                <w:tab w:val="left" w:pos="360"/>
              </w:tabs>
              <w:spacing w:line="276" w:lineRule="auto"/>
              <w:ind w:left="426" w:hanging="349"/>
              <w:jc w:val="both"/>
              <w:rPr>
                <w:rFonts w:ascii="Book Antiqua" w:eastAsia="Calibri" w:hAnsi="Book Antiqua" w:cs="Arial"/>
                <w:bCs/>
                <w:sz w:val="22"/>
                <w:szCs w:val="22"/>
              </w:rPr>
            </w:pPr>
            <w:r w:rsidRPr="00AF23E6">
              <w:rPr>
                <w:rFonts w:ascii="Book Antiqua" w:eastAsia="Calibri" w:hAnsi="Book Antiqua" w:cs="Arial"/>
                <w:bCs/>
                <w:sz w:val="22"/>
                <w:szCs w:val="22"/>
              </w:rPr>
              <w:t>Unstable vegetable prices reduce the enthusiasm of farmer groups and the community and can cause losses because they are not commensurate with the capital spent.</w:t>
            </w:r>
          </w:p>
          <w:p w14:paraId="5B3678EF" w14:textId="77777777" w:rsidR="00F25862" w:rsidRPr="00AF23E6" w:rsidRDefault="00F25862" w:rsidP="00F25862">
            <w:pPr>
              <w:numPr>
                <w:ilvl w:val="0"/>
                <w:numId w:val="12"/>
              </w:numPr>
              <w:tabs>
                <w:tab w:val="left" w:pos="360"/>
              </w:tabs>
              <w:spacing w:line="276" w:lineRule="auto"/>
              <w:ind w:left="426" w:hanging="349"/>
              <w:jc w:val="both"/>
              <w:rPr>
                <w:rFonts w:ascii="Book Antiqua" w:eastAsia="Calibri" w:hAnsi="Book Antiqua" w:cs="Arial"/>
                <w:bCs/>
                <w:sz w:val="22"/>
                <w:szCs w:val="22"/>
              </w:rPr>
            </w:pPr>
            <w:r w:rsidRPr="00AF23E6">
              <w:rPr>
                <w:rFonts w:ascii="Book Antiqua" w:eastAsia="Calibri" w:hAnsi="Book Antiqua" w:cs="Arial"/>
                <w:bCs/>
                <w:sz w:val="22"/>
                <w:szCs w:val="22"/>
              </w:rPr>
              <w:t>Climate and weather factors, namely the rainy season, can damage vegetables.</w:t>
            </w:r>
          </w:p>
          <w:p w14:paraId="53CA62BB" w14:textId="77777777" w:rsidR="00F25862" w:rsidRPr="00AF23E6" w:rsidRDefault="00F25862" w:rsidP="00F25862">
            <w:pPr>
              <w:numPr>
                <w:ilvl w:val="0"/>
                <w:numId w:val="12"/>
              </w:numPr>
              <w:tabs>
                <w:tab w:val="left" w:pos="360"/>
              </w:tabs>
              <w:spacing w:line="276" w:lineRule="auto"/>
              <w:ind w:left="426" w:hanging="349"/>
              <w:jc w:val="both"/>
              <w:rPr>
                <w:rFonts w:ascii="Book Antiqua" w:eastAsia="Calibri" w:hAnsi="Book Antiqua" w:cs="Arial"/>
                <w:bCs/>
                <w:sz w:val="22"/>
                <w:szCs w:val="22"/>
              </w:rPr>
            </w:pPr>
            <w:r w:rsidRPr="00AF23E6">
              <w:rPr>
                <w:rFonts w:ascii="Book Antiqua" w:eastAsia="Calibri" w:hAnsi="Book Antiqua" w:cs="Arial"/>
                <w:bCs/>
                <w:sz w:val="22"/>
                <w:szCs w:val="22"/>
              </w:rPr>
              <w:t>Pests that interfere with vegetable growth.</w:t>
            </w:r>
          </w:p>
          <w:p w14:paraId="163A8E15"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p>
        </w:tc>
        <w:tc>
          <w:tcPr>
            <w:tcW w:w="992" w:type="dxa"/>
            <w:shd w:val="clear" w:color="auto" w:fill="auto"/>
          </w:tcPr>
          <w:p w14:paraId="5F696F8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0,15</w:t>
            </w:r>
          </w:p>
          <w:p w14:paraId="6AE96FB4"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86F336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7D14606A"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1C3CCD4"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0,10</w:t>
            </w:r>
          </w:p>
          <w:p w14:paraId="1F95A07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A3A62C1"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0,15</w:t>
            </w:r>
          </w:p>
        </w:tc>
        <w:tc>
          <w:tcPr>
            <w:tcW w:w="992" w:type="dxa"/>
            <w:shd w:val="clear" w:color="auto" w:fill="auto"/>
          </w:tcPr>
          <w:p w14:paraId="3CEB584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3</w:t>
            </w:r>
          </w:p>
          <w:p w14:paraId="2BA7B281"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5B77D69A"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F70C6B0"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4483014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2</w:t>
            </w:r>
          </w:p>
          <w:p w14:paraId="70D45170"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1C451752"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3</w:t>
            </w:r>
          </w:p>
        </w:tc>
        <w:tc>
          <w:tcPr>
            <w:tcW w:w="993" w:type="dxa"/>
            <w:shd w:val="clear" w:color="auto" w:fill="auto"/>
          </w:tcPr>
          <w:p w14:paraId="219C7258"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(0,45)</w:t>
            </w:r>
          </w:p>
          <w:p w14:paraId="09DB4D60"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3D340037"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0EF91B7F"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05A07EA1"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(0,20)</w:t>
            </w:r>
          </w:p>
          <w:p w14:paraId="79268F65"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p>
          <w:p w14:paraId="57581CA3"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(0,30)</w:t>
            </w:r>
          </w:p>
        </w:tc>
      </w:tr>
      <w:tr w:rsidR="00F25862" w:rsidRPr="00AF23E6" w14:paraId="5F055911" w14:textId="77777777" w:rsidTr="00FA3390">
        <w:tc>
          <w:tcPr>
            <w:tcW w:w="8046" w:type="dxa"/>
            <w:gridSpan w:val="3"/>
            <w:shd w:val="clear" w:color="auto" w:fill="auto"/>
          </w:tcPr>
          <w:p w14:paraId="05C6E8B5"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r w:rsidRPr="00AF23E6">
              <w:rPr>
                <w:rFonts w:ascii="Book Antiqua" w:eastAsia="Calibri" w:hAnsi="Book Antiqua" w:cs="Arial"/>
                <w:bCs/>
                <w:sz w:val="22"/>
                <w:szCs w:val="22"/>
              </w:rPr>
              <w:t>Total Score Threats</w:t>
            </w:r>
          </w:p>
        </w:tc>
        <w:tc>
          <w:tcPr>
            <w:tcW w:w="993" w:type="dxa"/>
            <w:shd w:val="clear" w:color="auto" w:fill="auto"/>
          </w:tcPr>
          <w:p w14:paraId="3ADA2D37"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(0,95)</w:t>
            </w:r>
          </w:p>
        </w:tc>
      </w:tr>
      <w:tr w:rsidR="00F25862" w:rsidRPr="00AF23E6" w14:paraId="2E5AC614" w14:textId="77777777" w:rsidTr="00FA3390">
        <w:tc>
          <w:tcPr>
            <w:tcW w:w="6062" w:type="dxa"/>
            <w:shd w:val="clear" w:color="auto" w:fill="auto"/>
          </w:tcPr>
          <w:p w14:paraId="6B36C2F4" w14:textId="77777777" w:rsidR="00F25862" w:rsidRPr="00AF23E6" w:rsidRDefault="00F25862" w:rsidP="00FA3390">
            <w:pPr>
              <w:tabs>
                <w:tab w:val="left" w:pos="360"/>
              </w:tabs>
              <w:spacing w:line="276" w:lineRule="auto"/>
              <w:jc w:val="both"/>
              <w:rPr>
                <w:rFonts w:ascii="Book Antiqua" w:eastAsia="Calibri" w:hAnsi="Book Antiqua" w:cs="Arial"/>
                <w:bCs/>
                <w:sz w:val="22"/>
                <w:szCs w:val="22"/>
              </w:rPr>
            </w:pPr>
            <w:r w:rsidRPr="00AF23E6">
              <w:rPr>
                <w:rFonts w:ascii="Book Antiqua" w:eastAsia="Calibri" w:hAnsi="Book Antiqua" w:cs="Arial"/>
                <w:bCs/>
                <w:sz w:val="22"/>
                <w:szCs w:val="22"/>
              </w:rPr>
              <w:t>Total Score EFAS</w:t>
            </w:r>
          </w:p>
        </w:tc>
        <w:tc>
          <w:tcPr>
            <w:tcW w:w="992" w:type="dxa"/>
            <w:shd w:val="clear" w:color="auto" w:fill="auto"/>
          </w:tcPr>
          <w:p w14:paraId="2EE20C6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1</w:t>
            </w:r>
          </w:p>
        </w:tc>
        <w:tc>
          <w:tcPr>
            <w:tcW w:w="992" w:type="dxa"/>
            <w:shd w:val="clear" w:color="auto" w:fill="auto"/>
          </w:tcPr>
          <w:p w14:paraId="31032F6D"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w:t>
            </w:r>
          </w:p>
        </w:tc>
        <w:tc>
          <w:tcPr>
            <w:tcW w:w="993" w:type="dxa"/>
            <w:shd w:val="clear" w:color="auto" w:fill="auto"/>
          </w:tcPr>
          <w:p w14:paraId="623F382B" w14:textId="77777777" w:rsidR="00F25862" w:rsidRPr="00AF23E6" w:rsidRDefault="00F25862" w:rsidP="00FA3390">
            <w:pPr>
              <w:tabs>
                <w:tab w:val="left" w:pos="360"/>
              </w:tabs>
              <w:spacing w:line="276" w:lineRule="auto"/>
              <w:jc w:val="center"/>
              <w:rPr>
                <w:rFonts w:ascii="Book Antiqua" w:eastAsia="Calibri" w:hAnsi="Book Antiqua" w:cs="Arial"/>
                <w:bCs/>
                <w:sz w:val="22"/>
                <w:szCs w:val="22"/>
              </w:rPr>
            </w:pPr>
            <w:r w:rsidRPr="00AF23E6">
              <w:rPr>
                <w:rFonts w:ascii="Book Antiqua" w:eastAsia="Calibri" w:hAnsi="Book Antiqua" w:cs="Arial"/>
                <w:bCs/>
                <w:sz w:val="22"/>
                <w:szCs w:val="22"/>
              </w:rPr>
              <w:t>0,85</w:t>
            </w:r>
          </w:p>
        </w:tc>
      </w:tr>
    </w:tbl>
    <w:p w14:paraId="6B6DBBCA" w14:textId="77777777" w:rsidR="00F25862" w:rsidRDefault="00F25862" w:rsidP="00F25862">
      <w:pPr>
        <w:ind w:firstLine="709"/>
        <w:jc w:val="center"/>
        <w:rPr>
          <w:rFonts w:ascii="Georgia" w:eastAsia="Georgia" w:hAnsi="Georgia" w:cs="Georgia"/>
        </w:rPr>
      </w:pPr>
    </w:p>
    <w:p w14:paraId="6BCA1C02" w14:textId="77777777" w:rsidR="00F25862" w:rsidRPr="00427347" w:rsidRDefault="00F25862" w:rsidP="00F25862">
      <w:pPr>
        <w:ind w:firstLine="709"/>
        <w:rPr>
          <w:rFonts w:ascii="Georgia" w:eastAsia="Georgia" w:hAnsi="Georgia" w:cs="Georgia"/>
        </w:rPr>
      </w:pPr>
      <w:r w:rsidRPr="00427347">
        <w:rPr>
          <w:rFonts w:ascii="Georgia" w:hAnsi="Georgia" w:cs="Arial"/>
        </w:rPr>
        <w:t xml:space="preserve">Based on the results of the analysis of internal factors and internal factors in the SWOT table above, the weighting values </w:t>
      </w:r>
      <w:r w:rsidRPr="00427347">
        <w:t>​​</w:t>
      </w:r>
      <w:r w:rsidRPr="00427347">
        <w:rPr>
          <w:rFonts w:ascii="Georgia" w:hAnsi="Georgia" w:cs="Arial"/>
        </w:rPr>
        <w:t xml:space="preserve">can be seen with the following details: strength 1.90; weakness 0.75; odds 1.80; threat 0.95. From this data, the difference in the total weighting of the strength and weakness factors is (+) 1.15, while the difference in the total scores for the opportunity and threat factors is (+) 0.85. The following is a Cartesian diagram image of the results of the SWOT analysis of the Food Security Strategy through P2L Program in </w:t>
      </w:r>
      <w:proofErr w:type="spellStart"/>
      <w:r w:rsidRPr="00427347">
        <w:rPr>
          <w:rFonts w:ascii="Georgia" w:hAnsi="Georgia" w:cs="Arial"/>
        </w:rPr>
        <w:t>Tulungagung</w:t>
      </w:r>
      <w:proofErr w:type="spellEnd"/>
      <w:r w:rsidRPr="00427347">
        <w:rPr>
          <w:rFonts w:ascii="Georgia" w:hAnsi="Georgia" w:cs="Arial"/>
        </w:rPr>
        <w:t xml:space="preserve"> Regency:</w:t>
      </w:r>
    </w:p>
    <w:p w14:paraId="43A15AA8" w14:textId="77777777" w:rsidR="00F25862" w:rsidRDefault="00F25862" w:rsidP="00F25862">
      <w:pPr>
        <w:ind w:firstLine="709"/>
        <w:jc w:val="center"/>
        <w:rPr>
          <w:rFonts w:ascii="Georgia" w:eastAsia="Georgia" w:hAnsi="Georgia" w:cs="Georgia"/>
        </w:rPr>
      </w:pPr>
    </w:p>
    <w:p w14:paraId="201FC875" w14:textId="77777777" w:rsidR="00F25862" w:rsidRDefault="00F25862" w:rsidP="00F25862">
      <w:pPr>
        <w:ind w:firstLine="709"/>
        <w:jc w:val="center"/>
        <w:rPr>
          <w:rFonts w:ascii="Georgia" w:eastAsia="Georgia" w:hAnsi="Georgia" w:cs="Georgia"/>
        </w:rPr>
      </w:pPr>
      <w:r w:rsidRPr="009A04B9">
        <w:rPr>
          <w:rFonts w:ascii="Georgia" w:eastAsia="Georgia" w:hAnsi="Georgia" w:cs="Georgia"/>
        </w:rPr>
        <w:t>Graph 1.</w:t>
      </w:r>
      <w:r>
        <w:rPr>
          <w:rFonts w:ascii="Georgia" w:eastAsia="Georgia" w:hAnsi="Georgia" w:cs="Georgia"/>
        </w:rPr>
        <w:t xml:space="preserve"> Cartesian Diagram Result</w:t>
      </w:r>
    </w:p>
    <w:p w14:paraId="7E59F9C8" w14:textId="77777777" w:rsidR="00F25862" w:rsidRDefault="00F25862" w:rsidP="00F25862">
      <w:pPr>
        <w:ind w:firstLine="709"/>
        <w:jc w:val="center"/>
        <w:rPr>
          <w:noProof/>
        </w:rPr>
      </w:pPr>
      <w:r w:rsidRPr="00903E30">
        <w:rPr>
          <w:noProof/>
        </w:rPr>
        <w:drawing>
          <wp:inline distT="0" distB="0" distL="0" distR="0" wp14:anchorId="2267723E" wp14:editId="2384EA19">
            <wp:extent cx="2861310" cy="2735580"/>
            <wp:effectExtent l="0" t="0" r="0" b="7620"/>
            <wp:docPr id="1816121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1310" cy="2735580"/>
                    </a:xfrm>
                    <a:prstGeom prst="rect">
                      <a:avLst/>
                    </a:prstGeom>
                    <a:noFill/>
                    <a:ln>
                      <a:noFill/>
                    </a:ln>
                  </pic:spPr>
                </pic:pic>
              </a:graphicData>
            </a:graphic>
          </wp:inline>
        </w:drawing>
      </w:r>
    </w:p>
    <w:p w14:paraId="5CD06038" w14:textId="77777777" w:rsidR="00F25862" w:rsidRDefault="00F25862" w:rsidP="00F25862">
      <w:pPr>
        <w:spacing w:line="276" w:lineRule="auto"/>
        <w:jc w:val="both"/>
        <w:rPr>
          <w:rFonts w:ascii="Georgia" w:eastAsia="Georgia" w:hAnsi="Georgia" w:cs="Georgia"/>
        </w:rPr>
      </w:pPr>
      <w:r>
        <w:rPr>
          <w:rFonts w:ascii="Georgia" w:hAnsi="Georgia" w:cs="Arial"/>
          <w:color w:val="auto"/>
          <w:lang w:eastAsia="en-US"/>
        </w:rPr>
        <w:lastRenderedPageBreak/>
        <w:tab/>
      </w:r>
      <w:r w:rsidRPr="00427347">
        <w:rPr>
          <w:rFonts w:ascii="Georgia" w:hAnsi="Georgia" w:cs="Arial"/>
          <w:color w:val="auto"/>
          <w:lang w:eastAsia="en-US"/>
        </w:rPr>
        <w:t xml:space="preserve">Based on the assessment results on the Cartesian diagram, it is known that the results of the analysis of the Food Security Strategy through </w:t>
      </w:r>
      <w:proofErr w:type="spellStart"/>
      <w:r w:rsidRPr="00427347">
        <w:rPr>
          <w:rFonts w:ascii="Georgia" w:hAnsi="Georgia" w:cs="Arial"/>
          <w:i/>
          <w:iCs/>
          <w:color w:val="auto"/>
          <w:lang w:eastAsia="en-US"/>
        </w:rPr>
        <w:t>Pekarangan</w:t>
      </w:r>
      <w:proofErr w:type="spellEnd"/>
      <w:r w:rsidRPr="00427347">
        <w:rPr>
          <w:rFonts w:ascii="Georgia" w:hAnsi="Georgia" w:cs="Arial"/>
          <w:i/>
          <w:iCs/>
          <w:color w:val="auto"/>
          <w:lang w:eastAsia="en-US"/>
        </w:rPr>
        <w:t xml:space="preserve"> </w:t>
      </w:r>
      <w:proofErr w:type="spellStart"/>
      <w:r w:rsidRPr="00427347">
        <w:rPr>
          <w:rFonts w:ascii="Georgia" w:hAnsi="Georgia" w:cs="Arial"/>
          <w:i/>
          <w:iCs/>
          <w:color w:val="auto"/>
          <w:lang w:eastAsia="en-US"/>
        </w:rPr>
        <w:t>Pangan</w:t>
      </w:r>
      <w:proofErr w:type="spellEnd"/>
      <w:r w:rsidRPr="00427347">
        <w:rPr>
          <w:rFonts w:ascii="Georgia" w:hAnsi="Georgia" w:cs="Arial"/>
          <w:i/>
          <w:iCs/>
          <w:color w:val="auto"/>
          <w:lang w:eastAsia="en-US"/>
        </w:rPr>
        <w:t xml:space="preserve"> Lestari</w:t>
      </w:r>
      <w:r w:rsidRPr="00427347">
        <w:rPr>
          <w:rFonts w:ascii="Georgia" w:hAnsi="Georgia" w:cs="Arial"/>
          <w:color w:val="auto"/>
          <w:lang w:eastAsia="en-US"/>
        </w:rPr>
        <w:t xml:space="preserve"> (P2L) in </w:t>
      </w:r>
      <w:proofErr w:type="spellStart"/>
      <w:r w:rsidRPr="00427347">
        <w:rPr>
          <w:rFonts w:ascii="Georgia" w:hAnsi="Georgia" w:cs="Arial"/>
          <w:color w:val="auto"/>
          <w:lang w:eastAsia="en-US"/>
        </w:rPr>
        <w:t>Tulungagung</w:t>
      </w:r>
      <w:proofErr w:type="spellEnd"/>
      <w:r w:rsidRPr="00427347">
        <w:rPr>
          <w:rFonts w:ascii="Georgia" w:hAnsi="Georgia" w:cs="Arial"/>
          <w:color w:val="auto"/>
          <w:lang w:eastAsia="en-US"/>
        </w:rPr>
        <w:t xml:space="preserve"> Regency are in Quadrant I, namely Growth Oriented Strategy. This means that this program is considered successful because it has the strength to take advantage of opportunities to achieve its goals. The results of this research are in line with the research results of </w:t>
      </w:r>
      <w:proofErr w:type="spellStart"/>
      <w:r w:rsidRPr="00427347">
        <w:rPr>
          <w:rFonts w:ascii="Georgia" w:hAnsi="Georgia" w:cs="Arial"/>
          <w:color w:val="auto"/>
          <w:lang w:eastAsia="en-US"/>
        </w:rPr>
        <w:t>Ayuningtyas</w:t>
      </w:r>
      <w:proofErr w:type="spellEnd"/>
      <w:r w:rsidRPr="00427347">
        <w:rPr>
          <w:rFonts w:ascii="Georgia" w:hAnsi="Georgia" w:cs="Arial"/>
          <w:color w:val="auto"/>
          <w:lang w:eastAsia="en-US"/>
        </w:rPr>
        <w:t xml:space="preserve"> (2019); </w:t>
      </w:r>
      <w:proofErr w:type="spellStart"/>
      <w:r w:rsidRPr="00427347">
        <w:rPr>
          <w:rFonts w:ascii="Georgia" w:hAnsi="Georgia" w:cs="Arial"/>
          <w:color w:val="auto"/>
          <w:lang w:eastAsia="en-US"/>
        </w:rPr>
        <w:t>Saputri</w:t>
      </w:r>
      <w:proofErr w:type="spellEnd"/>
      <w:r w:rsidRPr="00427347">
        <w:rPr>
          <w:rFonts w:ascii="Georgia" w:hAnsi="Georgia" w:cs="Arial"/>
          <w:color w:val="auto"/>
          <w:lang w:eastAsia="en-US"/>
        </w:rPr>
        <w:t xml:space="preserve">, et al (2021); </w:t>
      </w:r>
      <w:proofErr w:type="spellStart"/>
      <w:r w:rsidRPr="00427347">
        <w:rPr>
          <w:rFonts w:ascii="Georgia" w:hAnsi="Georgia" w:cs="Arial"/>
          <w:color w:val="auto"/>
          <w:lang w:eastAsia="en-US"/>
        </w:rPr>
        <w:t>Fauzi</w:t>
      </w:r>
      <w:proofErr w:type="spellEnd"/>
      <w:r w:rsidRPr="00427347">
        <w:rPr>
          <w:rFonts w:ascii="Georgia" w:hAnsi="Georgia" w:cs="Arial"/>
          <w:color w:val="auto"/>
          <w:lang w:eastAsia="en-US"/>
        </w:rPr>
        <w:t xml:space="preserve">, et al (2022); and </w:t>
      </w:r>
      <w:proofErr w:type="spellStart"/>
      <w:r w:rsidRPr="00427347">
        <w:rPr>
          <w:rFonts w:ascii="Georgia" w:hAnsi="Georgia" w:cs="Arial"/>
          <w:color w:val="auto"/>
          <w:lang w:eastAsia="en-US"/>
        </w:rPr>
        <w:t>Fitrianie</w:t>
      </w:r>
      <w:proofErr w:type="spellEnd"/>
      <w:r w:rsidRPr="00427347">
        <w:rPr>
          <w:rFonts w:ascii="Georgia" w:hAnsi="Georgia" w:cs="Arial"/>
          <w:color w:val="auto"/>
          <w:lang w:eastAsia="en-US"/>
        </w:rPr>
        <w:t>, et al (2023) concluded that the P2L program was able to provide a positive impact in various aspects, including economic aspects, psychological aspects, and innovation aspects</w:t>
      </w:r>
      <w:r w:rsidRPr="008708F7">
        <w:rPr>
          <w:rFonts w:ascii="Georgia" w:eastAsia="Georgia" w:hAnsi="Georgia" w:cs="Georgia"/>
        </w:rPr>
        <w:t xml:space="preserve">. </w:t>
      </w:r>
    </w:p>
    <w:p w14:paraId="41083A35" w14:textId="77777777" w:rsidR="00F25862" w:rsidRPr="00427347" w:rsidRDefault="00F25862" w:rsidP="00F25862">
      <w:pPr>
        <w:tabs>
          <w:tab w:val="left" w:pos="0"/>
        </w:tabs>
        <w:suppressAutoHyphens/>
        <w:spacing w:line="276" w:lineRule="auto"/>
        <w:jc w:val="both"/>
        <w:rPr>
          <w:rFonts w:ascii="Georgia" w:hAnsi="Georgia" w:cs="Arial"/>
          <w:color w:val="auto"/>
          <w:lang w:eastAsia="en-US"/>
        </w:rPr>
      </w:pPr>
      <w:r w:rsidRPr="00427347">
        <w:rPr>
          <w:rFonts w:ascii="Georgia" w:hAnsi="Georgia" w:cs="Arial"/>
          <w:color w:val="auto"/>
          <w:lang w:eastAsia="en-US"/>
        </w:rPr>
        <w:t xml:space="preserve">The recommended alternative strategies that can be given to maintain program achievements and accelerate the development of the P2L program in </w:t>
      </w:r>
      <w:proofErr w:type="spellStart"/>
      <w:r w:rsidRPr="00427347">
        <w:rPr>
          <w:rFonts w:ascii="Georgia" w:hAnsi="Georgia" w:cs="Arial"/>
          <w:color w:val="auto"/>
          <w:lang w:eastAsia="en-US"/>
        </w:rPr>
        <w:t>Tulungagung</w:t>
      </w:r>
      <w:proofErr w:type="spellEnd"/>
      <w:r w:rsidRPr="00427347">
        <w:rPr>
          <w:rFonts w:ascii="Georgia" w:hAnsi="Georgia" w:cs="Arial"/>
          <w:color w:val="auto"/>
          <w:lang w:eastAsia="en-US"/>
        </w:rPr>
        <w:t xml:space="preserve"> Regency are as follows:</w:t>
      </w:r>
    </w:p>
    <w:p w14:paraId="73ADD260" w14:textId="77777777" w:rsidR="00F25862" w:rsidRPr="00427347" w:rsidRDefault="00F25862" w:rsidP="00F25862">
      <w:pPr>
        <w:pStyle w:val="ListParagraph"/>
        <w:numPr>
          <w:ilvl w:val="0"/>
          <w:numId w:val="13"/>
        </w:numPr>
        <w:tabs>
          <w:tab w:val="left" w:pos="0"/>
        </w:tabs>
        <w:suppressAutoHyphens/>
        <w:spacing w:line="276" w:lineRule="auto"/>
        <w:ind w:left="426"/>
        <w:jc w:val="both"/>
        <w:textDirection w:val="btLr"/>
        <w:textAlignment w:val="top"/>
        <w:outlineLvl w:val="0"/>
        <w:rPr>
          <w:rFonts w:ascii="Georgia" w:hAnsi="Georgia" w:cs="Arial"/>
          <w:color w:val="auto"/>
          <w:lang w:eastAsia="en-US"/>
        </w:rPr>
      </w:pPr>
      <w:r w:rsidRPr="00427347">
        <w:rPr>
          <w:rFonts w:ascii="Georgia" w:hAnsi="Georgia" w:cs="Arial"/>
          <w:color w:val="auto"/>
          <w:lang w:eastAsia="en-US"/>
        </w:rPr>
        <w:t xml:space="preserve">Strengthen the institutions of farmer groups in collaboration with the </w:t>
      </w:r>
      <w:proofErr w:type="spellStart"/>
      <w:r w:rsidRPr="00427347">
        <w:rPr>
          <w:rFonts w:ascii="Georgia" w:hAnsi="Georgia" w:cs="Arial"/>
          <w:color w:val="auto"/>
          <w:lang w:eastAsia="en-US"/>
        </w:rPr>
        <w:t>Tulungagung</w:t>
      </w:r>
      <w:proofErr w:type="spellEnd"/>
      <w:r w:rsidRPr="00427347">
        <w:rPr>
          <w:rFonts w:ascii="Georgia" w:hAnsi="Georgia" w:cs="Arial"/>
          <w:color w:val="auto"/>
          <w:lang w:eastAsia="en-US"/>
        </w:rPr>
        <w:t xml:space="preserve"> Regency Food Security Service, </w:t>
      </w:r>
      <w:proofErr w:type="spellStart"/>
      <w:r w:rsidRPr="00427347">
        <w:rPr>
          <w:rFonts w:ascii="Georgia" w:hAnsi="Georgia" w:cs="Arial"/>
          <w:color w:val="auto"/>
          <w:lang w:eastAsia="en-US"/>
        </w:rPr>
        <w:t>Tulungagung</w:t>
      </w:r>
      <w:proofErr w:type="spellEnd"/>
      <w:r w:rsidRPr="00427347">
        <w:rPr>
          <w:rFonts w:ascii="Georgia" w:hAnsi="Georgia" w:cs="Arial"/>
          <w:color w:val="auto"/>
          <w:lang w:eastAsia="en-US"/>
        </w:rPr>
        <w:t xml:space="preserve"> Regency Agriculture Service, Agricultural Extension Center, and Field Agricultural Instructors to be able to revive farmer groups and carry out plant cultivation activities in each member's yard to be able to realize resilience sustainable food;</w:t>
      </w:r>
    </w:p>
    <w:p w14:paraId="6E6CA5E2" w14:textId="77777777" w:rsidR="00F25862" w:rsidRPr="00427347" w:rsidRDefault="00F25862" w:rsidP="00F25862">
      <w:pPr>
        <w:pStyle w:val="ListParagraph"/>
        <w:numPr>
          <w:ilvl w:val="0"/>
          <w:numId w:val="13"/>
        </w:numPr>
        <w:tabs>
          <w:tab w:val="left" w:pos="0"/>
        </w:tabs>
        <w:suppressAutoHyphens/>
        <w:spacing w:line="276" w:lineRule="auto"/>
        <w:ind w:left="426"/>
        <w:jc w:val="both"/>
        <w:textDirection w:val="btLr"/>
        <w:textAlignment w:val="top"/>
        <w:outlineLvl w:val="0"/>
        <w:rPr>
          <w:rFonts w:ascii="Georgia" w:hAnsi="Georgia" w:cs="Arial"/>
          <w:color w:val="auto"/>
          <w:lang w:eastAsia="en-US"/>
        </w:rPr>
      </w:pPr>
      <w:r w:rsidRPr="00427347">
        <w:rPr>
          <w:rFonts w:ascii="Georgia" w:hAnsi="Georgia" w:cs="Arial"/>
          <w:color w:val="auto"/>
          <w:lang w:eastAsia="en-US"/>
        </w:rPr>
        <w:t xml:space="preserve">Conduct evaluations during the implementation of the </w:t>
      </w:r>
      <w:proofErr w:type="spellStart"/>
      <w:r w:rsidRPr="00427347">
        <w:rPr>
          <w:rFonts w:ascii="Georgia" w:hAnsi="Georgia" w:cs="Arial"/>
          <w:i/>
          <w:iCs/>
          <w:color w:val="auto"/>
          <w:lang w:eastAsia="en-US"/>
        </w:rPr>
        <w:t>Pekarangan</w:t>
      </w:r>
      <w:proofErr w:type="spellEnd"/>
      <w:r w:rsidRPr="00427347">
        <w:rPr>
          <w:rFonts w:ascii="Georgia" w:hAnsi="Georgia" w:cs="Arial"/>
          <w:i/>
          <w:iCs/>
          <w:color w:val="auto"/>
          <w:lang w:eastAsia="en-US"/>
        </w:rPr>
        <w:t xml:space="preserve"> </w:t>
      </w:r>
      <w:proofErr w:type="spellStart"/>
      <w:r w:rsidRPr="00427347">
        <w:rPr>
          <w:rFonts w:ascii="Georgia" w:hAnsi="Georgia" w:cs="Arial"/>
          <w:i/>
          <w:iCs/>
          <w:color w:val="auto"/>
          <w:lang w:eastAsia="en-US"/>
        </w:rPr>
        <w:t>Pangan</w:t>
      </w:r>
      <w:proofErr w:type="spellEnd"/>
      <w:r w:rsidRPr="00427347">
        <w:rPr>
          <w:rFonts w:ascii="Georgia" w:hAnsi="Georgia" w:cs="Arial"/>
          <w:i/>
          <w:iCs/>
          <w:color w:val="auto"/>
          <w:lang w:eastAsia="en-US"/>
        </w:rPr>
        <w:t xml:space="preserve"> Lestari</w:t>
      </w:r>
      <w:r w:rsidRPr="00427347">
        <w:rPr>
          <w:rFonts w:ascii="Georgia" w:hAnsi="Georgia" w:cs="Arial"/>
          <w:color w:val="auto"/>
          <w:lang w:eastAsia="en-US"/>
        </w:rPr>
        <w:t xml:space="preserve"> (P2L) program as input for future improvement plans. Evaluation is very well used to improve future programs and determine the direction and strategies chosen to achieve sustainable food security;</w:t>
      </w:r>
    </w:p>
    <w:p w14:paraId="5924B66D" w14:textId="77777777" w:rsidR="00F25862" w:rsidRPr="008708F7" w:rsidRDefault="00F25862" w:rsidP="00F25862">
      <w:pPr>
        <w:spacing w:line="276" w:lineRule="auto"/>
        <w:ind w:firstLine="720"/>
        <w:jc w:val="both"/>
        <w:rPr>
          <w:rFonts w:ascii="Georgia" w:eastAsia="Georgia" w:hAnsi="Georgia" w:cs="Georgia"/>
        </w:rPr>
      </w:pPr>
      <w:r w:rsidRPr="00427347">
        <w:rPr>
          <w:rFonts w:ascii="Georgia" w:hAnsi="Georgia" w:cs="Arial"/>
          <w:color w:val="auto"/>
          <w:lang w:eastAsia="en-US"/>
        </w:rPr>
        <w:t xml:space="preserve">Strengthening the Collaboration network with the quadruple helix model, namely government organizations, private organizations, community groups and universities to accelerate the development of a complete </w:t>
      </w:r>
      <w:proofErr w:type="spellStart"/>
      <w:r w:rsidRPr="00427347">
        <w:rPr>
          <w:rFonts w:ascii="Georgia" w:hAnsi="Georgia" w:cs="Arial"/>
          <w:i/>
          <w:iCs/>
          <w:color w:val="auto"/>
          <w:lang w:eastAsia="en-US"/>
        </w:rPr>
        <w:t>Pekarangan</w:t>
      </w:r>
      <w:proofErr w:type="spellEnd"/>
      <w:r w:rsidRPr="00427347">
        <w:rPr>
          <w:rFonts w:ascii="Georgia" w:hAnsi="Georgia" w:cs="Arial"/>
          <w:i/>
          <w:iCs/>
          <w:color w:val="auto"/>
          <w:lang w:eastAsia="en-US"/>
        </w:rPr>
        <w:t xml:space="preserve"> </w:t>
      </w:r>
      <w:proofErr w:type="spellStart"/>
      <w:r w:rsidRPr="00427347">
        <w:rPr>
          <w:rFonts w:ascii="Georgia" w:hAnsi="Georgia" w:cs="Arial"/>
          <w:i/>
          <w:iCs/>
          <w:color w:val="auto"/>
          <w:lang w:eastAsia="en-US"/>
        </w:rPr>
        <w:t>Pangan</w:t>
      </w:r>
      <w:proofErr w:type="spellEnd"/>
      <w:r w:rsidRPr="00427347">
        <w:rPr>
          <w:rFonts w:ascii="Georgia" w:hAnsi="Georgia" w:cs="Arial"/>
          <w:i/>
          <w:iCs/>
          <w:color w:val="auto"/>
          <w:lang w:eastAsia="en-US"/>
        </w:rPr>
        <w:t xml:space="preserve"> Lestari</w:t>
      </w:r>
      <w:r w:rsidRPr="00427347">
        <w:rPr>
          <w:rFonts w:ascii="Georgia" w:hAnsi="Georgia" w:cs="Arial"/>
          <w:color w:val="auto"/>
          <w:lang w:eastAsia="en-US"/>
        </w:rPr>
        <w:t xml:space="preserve"> (P2L) program in </w:t>
      </w:r>
      <w:proofErr w:type="spellStart"/>
      <w:r w:rsidRPr="00427347">
        <w:rPr>
          <w:rFonts w:ascii="Georgia" w:hAnsi="Georgia" w:cs="Arial"/>
          <w:color w:val="auto"/>
          <w:lang w:eastAsia="en-US"/>
        </w:rPr>
        <w:t>Tulungagung</w:t>
      </w:r>
      <w:proofErr w:type="spellEnd"/>
      <w:r w:rsidRPr="00427347">
        <w:rPr>
          <w:rFonts w:ascii="Georgia" w:hAnsi="Georgia" w:cs="Arial"/>
          <w:color w:val="auto"/>
          <w:lang w:eastAsia="en-US"/>
        </w:rPr>
        <w:t xml:space="preserve"> Regency</w:t>
      </w:r>
      <w:r w:rsidRPr="008708F7">
        <w:rPr>
          <w:rFonts w:ascii="Georgia" w:eastAsia="Georgia" w:hAnsi="Georgia" w:cs="Georgia"/>
        </w:rPr>
        <w:t>.</w:t>
      </w:r>
    </w:p>
    <w:p w14:paraId="70776004" w14:textId="77777777" w:rsidR="00F25862" w:rsidRPr="000A754E" w:rsidRDefault="00F25862" w:rsidP="00F25862">
      <w:pPr>
        <w:spacing w:after="240" w:line="276" w:lineRule="auto"/>
        <w:jc w:val="both"/>
        <w:rPr>
          <w:rFonts w:ascii="Georgia" w:eastAsia="Georgia" w:hAnsi="Georgia" w:cs="Georgia"/>
        </w:rPr>
      </w:pPr>
    </w:p>
    <w:p w14:paraId="2EAB734A" w14:textId="77777777" w:rsidR="00F25862" w:rsidRDefault="00F25862" w:rsidP="00F25862">
      <w:pPr>
        <w:jc w:val="both"/>
        <w:rPr>
          <w:rFonts w:ascii="Georgia" w:eastAsia="Georgia" w:hAnsi="Georgia" w:cs="Georgia"/>
        </w:rPr>
      </w:pPr>
      <w:r>
        <w:rPr>
          <w:rFonts w:ascii="Georgia" w:eastAsia="Georgia" w:hAnsi="Georgia" w:cs="Georgia"/>
          <w:b/>
          <w:highlight w:val="white"/>
        </w:rPr>
        <w:t>Discussion</w:t>
      </w:r>
    </w:p>
    <w:p w14:paraId="02729EDA" w14:textId="77777777" w:rsidR="00F25862" w:rsidRPr="00600782" w:rsidRDefault="00F25862" w:rsidP="00F25862">
      <w:pPr>
        <w:spacing w:line="276" w:lineRule="auto"/>
        <w:jc w:val="both"/>
        <w:rPr>
          <w:rFonts w:ascii="Georgia" w:eastAsia="Georgia" w:hAnsi="Georgia" w:cs="Georgia"/>
          <w:lang w:val="id-ID"/>
        </w:rPr>
      </w:pPr>
      <w:r w:rsidRPr="008708F7">
        <w:rPr>
          <w:rFonts w:ascii="Georgia" w:eastAsia="Georgia" w:hAnsi="Georgia" w:cs="Georgia"/>
          <w:lang w:val="id-ID"/>
        </w:rPr>
        <w:tab/>
      </w:r>
      <w:r>
        <w:rPr>
          <w:rFonts w:ascii="Georgia" w:eastAsia="Georgia" w:hAnsi="Georgia" w:cs="Georgia"/>
        </w:rPr>
        <w:t>This section deals with discussion of the research findings. The discussion should explore the significance of the results of the work, not repeat them. In discussion, it is the most important section of your article. Here you get the chance to sell your data. Make the discussion corresponding to the results, but do not reiterate the results. Often should begin with a brief summary of the main scientific findings. The meanings of the findings should be shown from current theories and references of the area addressed. The following components should be covered in discussion: How do your results relate to the original question or objectives outlined in the Introduction section (what)? Do you provide interpretation scientifically for each of your results or findings presented (why)? Are your results consistent with what other investigators have reported (what else)? Or are there any differences? In the end of the discussion section, implications and limitations of the study should be provided</w:t>
      </w:r>
      <w:r w:rsidRPr="008708F7">
        <w:rPr>
          <w:rFonts w:ascii="Georgia" w:eastAsia="Georgia" w:hAnsi="Georgia" w:cs="Georgia"/>
          <w:lang w:val="id-ID"/>
        </w:rPr>
        <w:t>.</w:t>
      </w:r>
    </w:p>
    <w:p w14:paraId="0244B0D2" w14:textId="77777777" w:rsidR="00F25862" w:rsidRPr="00994735" w:rsidRDefault="00F25862" w:rsidP="00F25862">
      <w:pPr>
        <w:jc w:val="both"/>
        <w:rPr>
          <w:rFonts w:ascii="Georgia" w:eastAsia="Georgia" w:hAnsi="Georgia" w:cs="Georgia"/>
        </w:rPr>
      </w:pPr>
    </w:p>
    <w:p w14:paraId="20400E6F" w14:textId="77777777" w:rsidR="00F25862" w:rsidRDefault="00F25862" w:rsidP="00F25862">
      <w:pPr>
        <w:jc w:val="both"/>
        <w:rPr>
          <w:rFonts w:ascii="Georgia" w:eastAsia="Georgia" w:hAnsi="Georgia" w:cs="Georgia"/>
        </w:rPr>
      </w:pPr>
      <w:r>
        <w:rPr>
          <w:rFonts w:ascii="Georgia" w:eastAsia="Georgia" w:hAnsi="Georgia" w:cs="Georgia"/>
          <w:b/>
          <w:highlight w:val="white"/>
        </w:rPr>
        <w:t>Conclusion</w:t>
      </w:r>
    </w:p>
    <w:p w14:paraId="54766DE4" w14:textId="77777777" w:rsidR="00F25862" w:rsidRPr="00600782" w:rsidRDefault="00F25862" w:rsidP="00F25862">
      <w:pPr>
        <w:spacing w:line="276" w:lineRule="auto"/>
        <w:ind w:firstLine="720"/>
        <w:jc w:val="both"/>
        <w:rPr>
          <w:rFonts w:ascii="Georgia" w:eastAsia="Georgia" w:hAnsi="Georgia" w:cs="Georgia"/>
        </w:rPr>
      </w:pPr>
      <w:r w:rsidRPr="00427347">
        <w:rPr>
          <w:rFonts w:ascii="Georgia" w:eastAsia="Arial" w:hAnsi="Georgia" w:cs="Arial"/>
        </w:rPr>
        <w:t xml:space="preserve">Global food security challenges are currently increasingly complex. The causes of global food security challenges are the result of rapid population growth, climate change and unequal food distribution. The </w:t>
      </w:r>
      <w:proofErr w:type="spellStart"/>
      <w:r w:rsidRPr="00427347">
        <w:rPr>
          <w:rFonts w:ascii="Georgia" w:eastAsia="Arial" w:hAnsi="Georgia" w:cs="Arial"/>
          <w:i/>
          <w:iCs/>
        </w:rPr>
        <w:t>Pekarangan</w:t>
      </w:r>
      <w:proofErr w:type="spellEnd"/>
      <w:r w:rsidRPr="00427347">
        <w:rPr>
          <w:rFonts w:ascii="Georgia" w:eastAsia="Arial" w:hAnsi="Georgia" w:cs="Arial"/>
          <w:i/>
          <w:iCs/>
        </w:rPr>
        <w:t xml:space="preserve"> </w:t>
      </w:r>
      <w:proofErr w:type="spellStart"/>
      <w:r w:rsidRPr="00427347">
        <w:rPr>
          <w:rFonts w:ascii="Georgia" w:eastAsia="Arial" w:hAnsi="Georgia" w:cs="Arial"/>
          <w:i/>
          <w:iCs/>
        </w:rPr>
        <w:t>Pangan</w:t>
      </w:r>
      <w:proofErr w:type="spellEnd"/>
      <w:r w:rsidRPr="00427347">
        <w:rPr>
          <w:rFonts w:ascii="Georgia" w:eastAsia="Arial" w:hAnsi="Georgia" w:cs="Arial"/>
          <w:i/>
          <w:iCs/>
        </w:rPr>
        <w:t xml:space="preserve"> Lestari</w:t>
      </w:r>
      <w:r w:rsidRPr="00427347">
        <w:rPr>
          <w:rFonts w:ascii="Georgia" w:eastAsia="Arial" w:hAnsi="Georgia" w:cs="Arial"/>
        </w:rPr>
        <w:t xml:space="preserve"> (P2L) </w:t>
      </w:r>
      <w:r w:rsidRPr="00427347">
        <w:rPr>
          <w:rFonts w:ascii="Georgia" w:eastAsia="Arial" w:hAnsi="Georgia" w:cs="Arial"/>
        </w:rPr>
        <w:lastRenderedPageBreak/>
        <w:t xml:space="preserve">Program aims to address these issues by improving household food use, availability, and accessibility while also boosting household income and preventing childhood stunting and hunger. This research focuses on providing an overview of strategies that can be utilized by </w:t>
      </w:r>
      <w:proofErr w:type="spellStart"/>
      <w:r w:rsidRPr="00427347">
        <w:rPr>
          <w:rFonts w:ascii="Georgia" w:eastAsia="Arial" w:hAnsi="Georgia" w:cs="Arial"/>
        </w:rPr>
        <w:t>Tulungagung</w:t>
      </w:r>
      <w:proofErr w:type="spellEnd"/>
      <w:r w:rsidRPr="00427347">
        <w:rPr>
          <w:rFonts w:ascii="Georgia" w:eastAsia="Arial" w:hAnsi="Georgia" w:cs="Arial"/>
        </w:rPr>
        <w:t xml:space="preserve"> Regency to achieve complete food security. The SWOT matrix results through IFAS and EFAS analysis place the position in Quadrant I, namely growth strategy. The resulting strategy recommendations are: 1) strengthening farmer group institutions, 2) evaluating the implementation of the P2L program, and 3) strengthening cooperation networks using the quadruple helix model. The findings of this study can be used to inform </w:t>
      </w:r>
      <w:proofErr w:type="spellStart"/>
      <w:r w:rsidRPr="00427347">
        <w:rPr>
          <w:rFonts w:ascii="Georgia" w:eastAsia="Arial" w:hAnsi="Georgia" w:cs="Arial"/>
        </w:rPr>
        <w:t>Tulungagung</w:t>
      </w:r>
      <w:proofErr w:type="spellEnd"/>
      <w:r w:rsidRPr="00427347">
        <w:rPr>
          <w:rFonts w:ascii="Georgia" w:eastAsia="Arial" w:hAnsi="Georgia" w:cs="Arial"/>
        </w:rPr>
        <w:t xml:space="preserve"> Regency's future food security policy planning</w:t>
      </w:r>
      <w:r w:rsidRPr="008708F7">
        <w:rPr>
          <w:rFonts w:ascii="Georgia" w:eastAsia="Georgia" w:hAnsi="Georgia" w:cs="Georgia"/>
          <w:lang w:val="id-ID"/>
        </w:rPr>
        <w:t>.</w:t>
      </w:r>
    </w:p>
    <w:p w14:paraId="5E62B784" w14:textId="77777777" w:rsidR="00F25862" w:rsidRPr="00994735" w:rsidRDefault="00F25862" w:rsidP="00F25862">
      <w:pPr>
        <w:rPr>
          <w:rFonts w:ascii="Georgia" w:eastAsia="Georgia" w:hAnsi="Georgia" w:cs="Georgia"/>
          <w:lang w:val="id-ID"/>
        </w:rPr>
      </w:pPr>
    </w:p>
    <w:p w14:paraId="0C272E2E" w14:textId="77777777" w:rsidR="00F25862" w:rsidRDefault="00F25862" w:rsidP="00F25862">
      <w:pPr>
        <w:rPr>
          <w:rFonts w:ascii="Georgia" w:eastAsia="Georgia" w:hAnsi="Georgia" w:cs="Georgia"/>
        </w:rPr>
      </w:pPr>
      <w:r>
        <w:rPr>
          <w:rFonts w:ascii="Georgia" w:eastAsia="Georgia" w:hAnsi="Georgia" w:cs="Georgia"/>
          <w:b/>
          <w:highlight w:val="white"/>
        </w:rPr>
        <w:t>References</w:t>
      </w:r>
    </w:p>
    <w:p w14:paraId="56234B6A" w14:textId="77777777" w:rsidR="00F25862" w:rsidRDefault="00F25862" w:rsidP="00F25862">
      <w:pPr>
        <w:suppressAutoHyphens/>
        <w:spacing w:line="276" w:lineRule="auto"/>
        <w:ind w:leftChars="-1" w:hangingChars="1" w:hanging="2"/>
        <w:jc w:val="both"/>
        <w:textDirection w:val="btLr"/>
        <w:textAlignment w:val="top"/>
        <w:outlineLvl w:val="0"/>
        <w:rPr>
          <w:rFonts w:ascii="Georgia" w:hAnsi="Georgia" w:cs="Arial"/>
          <w:color w:val="auto"/>
          <w:sz w:val="22"/>
          <w:szCs w:val="22"/>
          <w:lang w:eastAsia="en-US"/>
        </w:rPr>
      </w:pPr>
      <w:r w:rsidRPr="008708F7">
        <w:rPr>
          <w:rFonts w:ascii="Georgia" w:eastAsia="Georgia" w:hAnsi="Georgia" w:cs="Georgia"/>
          <w:sz w:val="22"/>
          <w:szCs w:val="22"/>
          <w:lang w:val="id-ID"/>
        </w:rPr>
        <w:fldChar w:fldCharType="begin" w:fldLock="1"/>
      </w:r>
      <w:r w:rsidRPr="008708F7">
        <w:rPr>
          <w:rFonts w:ascii="Georgia" w:eastAsia="Georgia" w:hAnsi="Georgia" w:cs="Georgia"/>
          <w:sz w:val="22"/>
          <w:szCs w:val="22"/>
          <w:lang w:val="id-ID"/>
        </w:rPr>
        <w:instrText xml:space="preserve">ADDIN Mendeley Bibliography CSL_BIBLIOGRAPHY </w:instrText>
      </w:r>
      <w:r w:rsidRPr="008708F7">
        <w:rPr>
          <w:rFonts w:ascii="Georgia" w:eastAsia="Georgia" w:hAnsi="Georgia" w:cs="Georgia"/>
          <w:sz w:val="22"/>
          <w:szCs w:val="22"/>
          <w:lang w:val="id-ID"/>
        </w:rPr>
        <w:fldChar w:fldCharType="separate"/>
      </w:r>
      <w:r w:rsidRPr="00600782">
        <w:rPr>
          <w:rFonts w:ascii="Georgia" w:hAnsi="Georgia" w:cs="Arial"/>
          <w:color w:val="auto"/>
          <w:sz w:val="22"/>
          <w:szCs w:val="22"/>
          <w:lang w:eastAsia="en-US"/>
        </w:rPr>
        <w:t xml:space="preserve"> </w:t>
      </w:r>
      <w:r w:rsidRPr="00427347">
        <w:rPr>
          <w:rFonts w:ascii="Georgia" w:hAnsi="Georgia" w:cs="Arial"/>
          <w:color w:val="auto"/>
          <w:sz w:val="22"/>
          <w:szCs w:val="22"/>
          <w:lang w:eastAsia="en-US"/>
        </w:rPr>
        <w:t>Ayuning, T. D. N. (2019). Implementasi kebijakan program kawasan rumah pangan</w:t>
      </w:r>
      <w:r>
        <w:rPr>
          <w:rFonts w:ascii="Georgia" w:hAnsi="Georgia" w:cs="Arial"/>
          <w:color w:val="auto"/>
          <w:sz w:val="22"/>
          <w:szCs w:val="22"/>
          <w:lang w:eastAsia="en-US"/>
        </w:rPr>
        <w:t xml:space="preserve"> Lestari</w:t>
      </w:r>
    </w:p>
    <w:p w14:paraId="2310FDE6" w14:textId="77777777" w:rsidR="00F25862" w:rsidRDefault="00F25862" w:rsidP="00F25862">
      <w:pPr>
        <w:suppressAutoHyphens/>
        <w:spacing w:line="276" w:lineRule="auto"/>
        <w:ind w:firstLine="720"/>
        <w:jc w:val="both"/>
        <w:textDirection w:val="btLr"/>
        <w:textAlignment w:val="top"/>
        <w:outlineLvl w:val="0"/>
        <w:rPr>
          <w:rFonts w:ascii="Georgia" w:hAnsi="Georgia" w:cs="Arial"/>
          <w:color w:val="auto"/>
          <w:sz w:val="22"/>
          <w:szCs w:val="22"/>
          <w:lang w:eastAsia="en-US"/>
        </w:rPr>
      </w:pPr>
      <w:r w:rsidRPr="00427347">
        <w:rPr>
          <w:rFonts w:ascii="Georgia" w:hAnsi="Georgia" w:cs="Arial"/>
          <w:color w:val="auto"/>
          <w:sz w:val="22"/>
          <w:szCs w:val="22"/>
          <w:lang w:eastAsia="en-US"/>
        </w:rPr>
        <w:t>(KRPL) dalam meningkatkan kesejahteraan masyarakat. Jurnal</w:t>
      </w:r>
      <w:r>
        <w:rPr>
          <w:rFonts w:ascii="Georgia" w:hAnsi="Georgia" w:cs="Arial"/>
          <w:color w:val="auto"/>
          <w:sz w:val="22"/>
          <w:szCs w:val="22"/>
          <w:lang w:eastAsia="en-US"/>
        </w:rPr>
        <w:t xml:space="preserve"> </w:t>
      </w:r>
      <w:r w:rsidRPr="00427347">
        <w:rPr>
          <w:rFonts w:ascii="Georgia" w:hAnsi="Georgia" w:cs="Arial"/>
          <w:color w:val="auto"/>
          <w:sz w:val="22"/>
          <w:szCs w:val="22"/>
          <w:lang w:eastAsia="en-US"/>
        </w:rPr>
        <w:t>Inovasi Ilmu Sosial</w:t>
      </w:r>
    </w:p>
    <w:p w14:paraId="5DE9129B" w14:textId="77777777" w:rsidR="00F25862" w:rsidRPr="00427347" w:rsidRDefault="00F25862" w:rsidP="00F25862">
      <w:pPr>
        <w:suppressAutoHyphens/>
        <w:spacing w:line="276" w:lineRule="auto"/>
        <w:ind w:firstLine="720"/>
        <w:jc w:val="both"/>
        <w:textDirection w:val="btLr"/>
        <w:textAlignment w:val="top"/>
        <w:outlineLvl w:val="0"/>
        <w:rPr>
          <w:rFonts w:ascii="Georgia" w:hAnsi="Georgia" w:cs="Arial"/>
          <w:color w:val="auto"/>
          <w:sz w:val="22"/>
          <w:szCs w:val="22"/>
          <w:lang w:eastAsia="en-US"/>
        </w:rPr>
      </w:pPr>
      <w:r w:rsidRPr="00427347">
        <w:rPr>
          <w:rFonts w:ascii="Georgia" w:hAnsi="Georgia" w:cs="Arial"/>
          <w:color w:val="auto"/>
          <w:sz w:val="22"/>
          <w:szCs w:val="22"/>
          <w:lang w:eastAsia="en-US"/>
        </w:rPr>
        <w:t>Dan Politik (JISoP), 1(1), 71–87.</w:t>
      </w:r>
      <w:r>
        <w:rPr>
          <w:rFonts w:ascii="Georgia" w:hAnsi="Georgia" w:cs="Arial"/>
          <w:color w:val="auto"/>
          <w:sz w:val="22"/>
          <w:szCs w:val="22"/>
          <w:lang w:eastAsia="en-US"/>
        </w:rPr>
        <w:t xml:space="preserve"> </w:t>
      </w:r>
      <w:hyperlink r:id="rId9" w:history="1">
        <w:r w:rsidRPr="00427347">
          <w:rPr>
            <w:rFonts w:ascii="Georgia" w:hAnsi="Georgia" w:cs="Arial"/>
            <w:color w:val="auto"/>
            <w:sz w:val="22"/>
            <w:szCs w:val="22"/>
            <w:lang w:eastAsia="en-US"/>
          </w:rPr>
          <w:t>https://doi.org/10.33474/jisop.v1i1.2679</w:t>
        </w:r>
      </w:hyperlink>
      <w:r w:rsidRPr="00427347">
        <w:rPr>
          <w:rFonts w:ascii="Georgia" w:hAnsi="Georgia" w:cs="Arial"/>
          <w:color w:val="auto"/>
          <w:sz w:val="22"/>
          <w:szCs w:val="22"/>
          <w:lang w:eastAsia="en-US"/>
        </w:rPr>
        <w:t xml:space="preserve">. </w:t>
      </w:r>
    </w:p>
    <w:p w14:paraId="517BAB09"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Brown, A., Thompson, L., &amp; Williams, S. (2023). Climate-Resilient Agriculture and Food Security: Strategis for Sustainable Development. Journal of Global Food Security, 12(4), 345-360.</w:t>
      </w:r>
    </w:p>
    <w:p w14:paraId="105D533C"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 xml:space="preserve">Carthy, Ultan Mc; Ismail Uysal; Ricardo Badia-Melis; Samuel Mercier; Colm O'Donnell; Anastasia Ktenioudaki. (2018). Global food security – Issues, challenges and technological solutions. Trends in Food Science &amp; Technology, 77, 11-20. </w:t>
      </w:r>
      <w:hyperlink r:id="rId10" w:history="1">
        <w:r w:rsidRPr="00427347">
          <w:rPr>
            <w:rFonts w:ascii="Georgia" w:hAnsi="Georgia" w:cs="Arial"/>
            <w:color w:val="auto"/>
            <w:sz w:val="22"/>
            <w:szCs w:val="22"/>
            <w:lang w:eastAsia="en-US"/>
          </w:rPr>
          <w:t>https://doi.org/10.1016/j.tifs.2018.05.002</w:t>
        </w:r>
      </w:hyperlink>
      <w:r w:rsidRPr="00427347">
        <w:rPr>
          <w:rFonts w:ascii="Georgia" w:hAnsi="Georgia" w:cs="Arial"/>
          <w:color w:val="auto"/>
          <w:sz w:val="22"/>
          <w:szCs w:val="22"/>
          <w:lang w:eastAsia="en-US"/>
        </w:rPr>
        <w:t xml:space="preserve">. </w:t>
      </w:r>
    </w:p>
    <w:p w14:paraId="674EEBE7"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 xml:space="preserve">Fauzi, Emlan, dkk. (2022). Keefektifan Pelaksanaan Program Pekarangan Pangan Lestari (P2L) di KWT Jatim Mandiri Desa Keban Jati Kecamatan Ulu Manna Kabupaten Bengkulu Selatan. Jurnal Angrica Ekstensia, 16(1), 1-7. https://doi.org/10.55127/ae.vl6il.108. </w:t>
      </w:r>
    </w:p>
    <w:p w14:paraId="59BCE538"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Fitrianie, Siti, dkk. (2023). Inovasi Pemanfaatan Lahan Pekarangan Melalui Kegiatan Pekarangan Pangan Lestari (P2L) Studi Pada Kelompok Wanita Tani Sadang Serang. Jurnal Administrasi Negara (JANE). 14(2), 504-512. https;//jurnal.unpad.ac.id/jane/article/download/45063/19248.</w:t>
      </w:r>
    </w:p>
    <w:p w14:paraId="3EB26930"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Jones, M., Peterson, K., &amp; Clark, D. (2021). "Impact of Political Instability on Food Security in Sub-Saharan Africa." International Journal of Food Studies, 9(3), 210-225.</w:t>
      </w:r>
    </w:p>
    <w:p w14:paraId="5D7A3A17"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Kementerian Pertanian Republik Indonesia. (2020). Rencana strategis Kementerian Pertanian 2020-2024. Jakarta: Kementerian Pertanian RI.</w:t>
      </w:r>
    </w:p>
    <w:p w14:paraId="35137486" w14:textId="77777777" w:rsidR="00F25862" w:rsidRDefault="00F25862" w:rsidP="00F25862">
      <w:pPr>
        <w:tabs>
          <w:tab w:val="left" w:pos="360"/>
        </w:tabs>
        <w:spacing w:line="276" w:lineRule="auto"/>
        <w:jc w:val="both"/>
        <w:rPr>
          <w:rFonts w:ascii="Georgia" w:hAnsi="Georgia" w:cs="Arial"/>
          <w:color w:val="auto"/>
          <w:sz w:val="22"/>
          <w:szCs w:val="22"/>
          <w:lang w:val="id-ID" w:eastAsia="en-US"/>
        </w:rPr>
      </w:pPr>
      <w:r w:rsidRPr="00427347">
        <w:rPr>
          <w:rFonts w:ascii="Georgia" w:hAnsi="Georgia" w:cs="Arial"/>
          <w:color w:val="auto"/>
          <w:sz w:val="22"/>
          <w:szCs w:val="22"/>
          <w:lang w:val="id-ID" w:eastAsia="en-US"/>
        </w:rPr>
        <w:t>Nikmah, Feni Askurun (2021). Pemberdayaan Masyarakat dalam Meningkatkan</w:t>
      </w:r>
      <w:r>
        <w:rPr>
          <w:rFonts w:ascii="Georgia" w:hAnsi="Georgia" w:cs="Arial"/>
          <w:color w:val="auto"/>
          <w:sz w:val="22"/>
          <w:szCs w:val="22"/>
          <w:lang w:val="id-ID" w:eastAsia="en-US"/>
        </w:rPr>
        <w:t xml:space="preserve"> </w:t>
      </w:r>
      <w:r w:rsidRPr="00427347">
        <w:rPr>
          <w:rFonts w:ascii="Georgia" w:hAnsi="Georgia" w:cs="Arial"/>
          <w:color w:val="auto"/>
          <w:sz w:val="22"/>
          <w:szCs w:val="22"/>
          <w:lang w:val="id-ID" w:eastAsia="en-US"/>
        </w:rPr>
        <w:t>Ketahanan</w:t>
      </w:r>
    </w:p>
    <w:p w14:paraId="466A0F4C" w14:textId="77777777" w:rsidR="00F25862" w:rsidRDefault="00F25862" w:rsidP="00F25862">
      <w:pPr>
        <w:tabs>
          <w:tab w:val="left" w:pos="360"/>
        </w:tabs>
        <w:spacing w:line="276" w:lineRule="auto"/>
        <w:jc w:val="both"/>
        <w:rPr>
          <w:rFonts w:ascii="Georgia" w:hAnsi="Georgia" w:cs="Arial"/>
          <w:color w:val="auto"/>
          <w:sz w:val="22"/>
          <w:szCs w:val="22"/>
          <w:lang w:val="id-ID" w:eastAsia="en-US"/>
        </w:rPr>
      </w:pPr>
      <w:r>
        <w:rPr>
          <w:rFonts w:ascii="Georgia" w:hAnsi="Georgia" w:cs="Arial"/>
          <w:color w:val="auto"/>
          <w:sz w:val="22"/>
          <w:szCs w:val="22"/>
          <w:lang w:val="id-ID" w:eastAsia="en-US"/>
        </w:rPr>
        <w:tab/>
      </w:r>
      <w:r>
        <w:rPr>
          <w:rFonts w:ascii="Georgia" w:hAnsi="Georgia" w:cs="Arial"/>
          <w:color w:val="auto"/>
          <w:sz w:val="22"/>
          <w:szCs w:val="22"/>
          <w:lang w:val="id-ID" w:eastAsia="en-US"/>
        </w:rPr>
        <w:tab/>
      </w:r>
      <w:r w:rsidRPr="00427347">
        <w:rPr>
          <w:rFonts w:ascii="Georgia" w:hAnsi="Georgia" w:cs="Arial"/>
          <w:color w:val="auto"/>
          <w:sz w:val="22"/>
          <w:szCs w:val="22"/>
          <w:lang w:val="id-ID" w:eastAsia="en-US"/>
        </w:rPr>
        <w:t>Pangan Melalui Program Pekarangan Pangan Lestari (P2L)</w:t>
      </w:r>
      <w:r>
        <w:rPr>
          <w:rFonts w:ascii="Georgia" w:hAnsi="Georgia" w:cs="Arial"/>
          <w:color w:val="auto"/>
          <w:sz w:val="22"/>
          <w:szCs w:val="22"/>
          <w:lang w:val="id-ID" w:eastAsia="en-US"/>
        </w:rPr>
        <w:t xml:space="preserve"> </w:t>
      </w:r>
      <w:r w:rsidRPr="00427347">
        <w:rPr>
          <w:rFonts w:ascii="Georgia" w:hAnsi="Georgia" w:cs="Arial"/>
          <w:color w:val="auto"/>
          <w:sz w:val="22"/>
          <w:szCs w:val="22"/>
          <w:lang w:val="id-ID" w:eastAsia="en-US"/>
        </w:rPr>
        <w:t>Studi pada Kelompok Tani</w:t>
      </w:r>
    </w:p>
    <w:p w14:paraId="6DD9AF8C" w14:textId="77777777" w:rsidR="00F25862" w:rsidRDefault="00F25862" w:rsidP="00F25862">
      <w:pPr>
        <w:tabs>
          <w:tab w:val="left" w:pos="360"/>
        </w:tabs>
        <w:spacing w:line="276" w:lineRule="auto"/>
        <w:jc w:val="both"/>
        <w:rPr>
          <w:rFonts w:ascii="Georgia" w:hAnsi="Georgia" w:cs="Arial"/>
          <w:color w:val="auto"/>
          <w:sz w:val="22"/>
          <w:szCs w:val="22"/>
          <w:lang w:val="id-ID" w:eastAsia="en-US"/>
        </w:rPr>
      </w:pPr>
      <w:r>
        <w:rPr>
          <w:rFonts w:ascii="Georgia" w:hAnsi="Georgia" w:cs="Arial"/>
          <w:color w:val="auto"/>
          <w:sz w:val="22"/>
          <w:szCs w:val="22"/>
          <w:lang w:val="id-ID" w:eastAsia="en-US"/>
        </w:rPr>
        <w:tab/>
      </w:r>
      <w:r>
        <w:rPr>
          <w:rFonts w:ascii="Georgia" w:hAnsi="Georgia" w:cs="Arial"/>
          <w:color w:val="auto"/>
          <w:sz w:val="22"/>
          <w:szCs w:val="22"/>
          <w:lang w:val="id-ID" w:eastAsia="en-US"/>
        </w:rPr>
        <w:tab/>
      </w:r>
      <w:r w:rsidRPr="00427347">
        <w:rPr>
          <w:rFonts w:ascii="Georgia" w:hAnsi="Georgia" w:cs="Arial"/>
          <w:color w:val="auto"/>
          <w:sz w:val="22"/>
          <w:szCs w:val="22"/>
          <w:lang w:val="id-ID" w:eastAsia="en-US"/>
        </w:rPr>
        <w:t>Winong Asri Desa Winong Kecamatan</w:t>
      </w:r>
      <w:r>
        <w:rPr>
          <w:rFonts w:ascii="Georgia" w:hAnsi="Georgia" w:cs="Arial"/>
          <w:color w:val="auto"/>
          <w:sz w:val="22"/>
          <w:szCs w:val="22"/>
          <w:lang w:val="id-ID" w:eastAsia="en-US"/>
        </w:rPr>
        <w:t xml:space="preserve"> </w:t>
      </w:r>
      <w:r w:rsidRPr="00427347">
        <w:rPr>
          <w:rFonts w:ascii="Georgia" w:hAnsi="Georgia" w:cs="Arial"/>
          <w:color w:val="auto"/>
          <w:sz w:val="22"/>
          <w:szCs w:val="22"/>
          <w:lang w:val="id-ID" w:eastAsia="en-US"/>
        </w:rPr>
        <w:t>Kedungwaru Kabupaten Tulungagung</w:t>
      </w:r>
    </w:p>
    <w:p w14:paraId="53307F00" w14:textId="77777777" w:rsidR="00F25862" w:rsidRPr="00427347" w:rsidRDefault="00F25862" w:rsidP="00F25862">
      <w:pPr>
        <w:tabs>
          <w:tab w:val="left" w:pos="360"/>
        </w:tabs>
        <w:spacing w:line="276" w:lineRule="auto"/>
        <w:jc w:val="both"/>
        <w:rPr>
          <w:rFonts w:ascii="Georgia" w:hAnsi="Georgia" w:cs="Arial"/>
          <w:color w:val="auto"/>
          <w:sz w:val="22"/>
          <w:szCs w:val="22"/>
          <w:lang w:val="id-ID" w:eastAsia="en-US"/>
        </w:rPr>
      </w:pPr>
      <w:r>
        <w:rPr>
          <w:rFonts w:ascii="Georgia" w:hAnsi="Georgia" w:cs="Arial"/>
          <w:color w:val="auto"/>
          <w:sz w:val="22"/>
          <w:szCs w:val="22"/>
          <w:lang w:val="id-ID" w:eastAsia="en-US"/>
        </w:rPr>
        <w:tab/>
      </w:r>
      <w:r>
        <w:rPr>
          <w:rFonts w:ascii="Georgia" w:hAnsi="Georgia" w:cs="Arial"/>
          <w:color w:val="auto"/>
          <w:sz w:val="22"/>
          <w:szCs w:val="22"/>
          <w:lang w:val="id-ID" w:eastAsia="en-US"/>
        </w:rPr>
        <w:tab/>
      </w:r>
      <w:r w:rsidRPr="00427347">
        <w:rPr>
          <w:rFonts w:ascii="Georgia" w:hAnsi="Georgia" w:cs="Arial"/>
          <w:color w:val="auto"/>
          <w:sz w:val="22"/>
          <w:szCs w:val="22"/>
          <w:lang w:val="id-ID" w:eastAsia="en-US"/>
        </w:rPr>
        <w:t>(Universitas</w:t>
      </w:r>
      <w:r>
        <w:rPr>
          <w:rFonts w:ascii="Georgia" w:hAnsi="Georgia" w:cs="Arial"/>
          <w:color w:val="auto"/>
          <w:sz w:val="22"/>
          <w:szCs w:val="22"/>
          <w:lang w:val="id-ID" w:eastAsia="en-US"/>
        </w:rPr>
        <w:t xml:space="preserve"> </w:t>
      </w:r>
      <w:r w:rsidRPr="00427347">
        <w:rPr>
          <w:rFonts w:ascii="Georgia" w:hAnsi="Georgia" w:cs="Arial"/>
          <w:color w:val="auto"/>
          <w:sz w:val="22"/>
          <w:szCs w:val="22"/>
          <w:lang w:val="id-ID" w:eastAsia="en-US"/>
        </w:rPr>
        <w:t>Brawijaya, Malang). https://repository.ub.ac.id/id/eprint/187848/.</w:t>
      </w:r>
    </w:p>
    <w:p w14:paraId="068507A2"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Pusat Data dan Sistem Informasi Pertanian Sekretariat Jenderal. (2023). Statistik Konsumsi Pangan Tahun 2023. Jakarta: Kement</w:t>
      </w:r>
      <w:r>
        <w:rPr>
          <w:rFonts w:ascii="Georgia" w:hAnsi="Georgia" w:cs="Arial"/>
          <w:color w:val="auto"/>
          <w:sz w:val="22"/>
          <w:szCs w:val="22"/>
          <w:lang w:eastAsia="en-US"/>
        </w:rPr>
        <w:t>e</w:t>
      </w:r>
      <w:r w:rsidRPr="00427347">
        <w:rPr>
          <w:rFonts w:ascii="Georgia" w:hAnsi="Georgia" w:cs="Arial"/>
          <w:color w:val="auto"/>
          <w:sz w:val="22"/>
          <w:szCs w:val="22"/>
          <w:lang w:eastAsia="en-US"/>
        </w:rPr>
        <w:t>rian Pertanian.</w:t>
      </w:r>
    </w:p>
    <w:p w14:paraId="38828328"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sidRPr="00427347">
        <w:rPr>
          <w:rFonts w:ascii="Georgia" w:hAnsi="Georgia" w:cs="Arial"/>
          <w:bCs/>
          <w:color w:val="auto"/>
          <w:sz w:val="22"/>
          <w:szCs w:val="22"/>
          <w:lang w:eastAsia="en-US"/>
        </w:rPr>
        <w:t>Puyt, Richard W., Finn Birger Liec, and Celeste P.M. Wilderom (2023). The origins</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of SWOT</w:t>
      </w:r>
    </w:p>
    <w:p w14:paraId="01EE5CF1"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Pr>
          <w:rFonts w:ascii="Georgia" w:hAnsi="Georgia" w:cs="Arial"/>
          <w:bCs/>
          <w:color w:val="auto"/>
          <w:sz w:val="22"/>
          <w:szCs w:val="22"/>
          <w:lang w:eastAsia="en-US"/>
        </w:rPr>
        <w:tab/>
      </w:r>
      <w:r>
        <w:rPr>
          <w:rFonts w:ascii="Georgia" w:hAnsi="Georgia" w:cs="Arial"/>
          <w:bCs/>
          <w:color w:val="auto"/>
          <w:sz w:val="22"/>
          <w:szCs w:val="22"/>
          <w:lang w:eastAsia="en-US"/>
        </w:rPr>
        <w:tab/>
      </w:r>
      <w:r w:rsidRPr="00427347">
        <w:rPr>
          <w:rFonts w:ascii="Georgia" w:hAnsi="Georgia" w:cs="Arial"/>
          <w:bCs/>
          <w:color w:val="auto"/>
          <w:sz w:val="22"/>
          <w:szCs w:val="22"/>
          <w:lang w:eastAsia="en-US"/>
        </w:rPr>
        <w:t>analysis. Journal of Strategic Management, 56(3),</w:t>
      </w:r>
      <w:r>
        <w:rPr>
          <w:rFonts w:ascii="Georgia" w:hAnsi="Georgia" w:cs="Arial"/>
          <w:bCs/>
          <w:color w:val="auto"/>
          <w:sz w:val="22"/>
          <w:szCs w:val="22"/>
          <w:lang w:eastAsia="en-US"/>
        </w:rPr>
        <w:t xml:space="preserve"> </w:t>
      </w:r>
    </w:p>
    <w:p w14:paraId="30704100" w14:textId="77777777" w:rsidR="00F25862" w:rsidRPr="009A04B9" w:rsidRDefault="00F25862" w:rsidP="00F25862">
      <w:pPr>
        <w:tabs>
          <w:tab w:val="left" w:pos="360"/>
        </w:tabs>
        <w:spacing w:line="276" w:lineRule="auto"/>
        <w:jc w:val="both"/>
        <w:rPr>
          <w:rFonts w:ascii="Georgia" w:hAnsi="Georgia" w:cs="Arial"/>
          <w:bCs/>
          <w:color w:val="auto"/>
          <w:sz w:val="22"/>
          <w:szCs w:val="22"/>
          <w:lang w:eastAsia="en-US"/>
        </w:rPr>
      </w:pPr>
      <w:r>
        <w:rPr>
          <w:rFonts w:ascii="Georgia" w:hAnsi="Georgia" w:cs="Arial"/>
          <w:bCs/>
          <w:color w:val="auto"/>
          <w:sz w:val="22"/>
          <w:szCs w:val="22"/>
          <w:lang w:eastAsia="en-US"/>
        </w:rPr>
        <w:tab/>
      </w:r>
      <w:r>
        <w:rPr>
          <w:rFonts w:ascii="Georgia" w:hAnsi="Georgia" w:cs="Arial"/>
          <w:bCs/>
          <w:color w:val="auto"/>
          <w:sz w:val="22"/>
          <w:szCs w:val="22"/>
          <w:lang w:eastAsia="en-US"/>
        </w:rPr>
        <w:tab/>
      </w:r>
      <w:hyperlink r:id="rId11" w:history="1">
        <w:r w:rsidRPr="009A04B9">
          <w:rPr>
            <w:rStyle w:val="Hyperlink"/>
            <w:rFonts w:ascii="Georgia" w:hAnsi="Georgia" w:cs="Arial"/>
            <w:bCs/>
            <w:color w:val="auto"/>
            <w:sz w:val="22"/>
            <w:szCs w:val="22"/>
            <w:lang w:eastAsia="en-US"/>
          </w:rPr>
          <w:t>https://doi:10.1016/j.lrp.2023.103204</w:t>
        </w:r>
      </w:hyperlink>
      <w:r w:rsidRPr="009A04B9">
        <w:rPr>
          <w:rFonts w:ascii="Georgia" w:hAnsi="Georgia" w:cs="Arial"/>
          <w:bCs/>
          <w:color w:val="auto"/>
          <w:sz w:val="22"/>
          <w:szCs w:val="22"/>
          <w:lang w:eastAsia="en-US"/>
        </w:rPr>
        <w:t xml:space="preserve">. </w:t>
      </w:r>
    </w:p>
    <w:p w14:paraId="5D7A605D"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sidRPr="00427347">
        <w:rPr>
          <w:rFonts w:ascii="Georgia" w:hAnsi="Georgia" w:cs="Arial"/>
          <w:bCs/>
          <w:color w:val="auto"/>
          <w:sz w:val="22"/>
          <w:szCs w:val="22"/>
          <w:lang w:eastAsia="en-US"/>
        </w:rPr>
        <w:t>Rhofita, Erry Ika (2022). Optimalisasi Sumber Daya Pertanian Indonesia untuk</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Mendukung</w:t>
      </w:r>
    </w:p>
    <w:p w14:paraId="3ACFA594" w14:textId="77777777" w:rsidR="00F25862" w:rsidRPr="00427347" w:rsidRDefault="00F25862" w:rsidP="00F25862">
      <w:pPr>
        <w:tabs>
          <w:tab w:val="left" w:pos="360"/>
        </w:tabs>
        <w:spacing w:line="276" w:lineRule="auto"/>
        <w:jc w:val="both"/>
        <w:rPr>
          <w:rFonts w:ascii="Georgia" w:hAnsi="Georgia" w:cs="Arial"/>
          <w:bCs/>
          <w:color w:val="auto"/>
          <w:sz w:val="22"/>
          <w:szCs w:val="22"/>
          <w:lang w:eastAsia="en-US"/>
        </w:rPr>
      </w:pPr>
      <w:r>
        <w:rPr>
          <w:rFonts w:ascii="Georgia" w:hAnsi="Georgia" w:cs="Arial"/>
          <w:bCs/>
          <w:color w:val="auto"/>
          <w:sz w:val="22"/>
          <w:szCs w:val="22"/>
          <w:lang w:eastAsia="en-US"/>
        </w:rPr>
        <w:tab/>
      </w:r>
      <w:r>
        <w:rPr>
          <w:rFonts w:ascii="Georgia" w:hAnsi="Georgia" w:cs="Arial"/>
          <w:bCs/>
          <w:color w:val="auto"/>
          <w:sz w:val="22"/>
          <w:szCs w:val="22"/>
          <w:lang w:eastAsia="en-US"/>
        </w:rPr>
        <w:tab/>
      </w:r>
      <w:r w:rsidRPr="00427347">
        <w:rPr>
          <w:rFonts w:ascii="Georgia" w:hAnsi="Georgia" w:cs="Arial"/>
          <w:bCs/>
          <w:color w:val="auto"/>
          <w:sz w:val="22"/>
          <w:szCs w:val="22"/>
          <w:lang w:eastAsia="en-US"/>
        </w:rPr>
        <w:t>Program Ketahanan Pangan Dan Energi Nasional, 28(1), 82</w:t>
      </w:r>
      <w:r>
        <w:rPr>
          <w:rFonts w:ascii="Georgia" w:hAnsi="Georgia" w:cs="Arial"/>
          <w:bCs/>
          <w:color w:val="auto"/>
          <w:sz w:val="22"/>
          <w:szCs w:val="22"/>
          <w:lang w:eastAsia="en-US"/>
        </w:rPr>
        <w:t>-100.</w:t>
      </w:r>
    </w:p>
    <w:p w14:paraId="4B0FF7C8"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lastRenderedPageBreak/>
        <w:t xml:space="preserve">Saputri, Elisa Medi, dkk. (2021). Dampak Implementasi Program Pekarangan Pangan Lestari (P2L) di Kecamatan Gondangrejo Kabupaten Karanganyar. Jurnal Angrica Ekstensia,15(2), 125-131. </w:t>
      </w:r>
      <w:hyperlink r:id="rId12" w:history="1">
        <w:r w:rsidRPr="00427347">
          <w:rPr>
            <w:rFonts w:ascii="Georgia" w:hAnsi="Georgia" w:cs="Arial"/>
            <w:color w:val="auto"/>
            <w:sz w:val="22"/>
            <w:szCs w:val="22"/>
            <w:lang w:eastAsia="en-US"/>
          </w:rPr>
          <w:t>https://doi.org/10.55127/ae.v15i2.99</w:t>
        </w:r>
      </w:hyperlink>
      <w:r w:rsidRPr="00427347">
        <w:rPr>
          <w:rFonts w:ascii="Georgia" w:hAnsi="Georgia" w:cs="Arial"/>
          <w:color w:val="auto"/>
          <w:sz w:val="22"/>
          <w:szCs w:val="22"/>
          <w:lang w:eastAsia="en-US"/>
        </w:rPr>
        <w:t>.</w:t>
      </w:r>
    </w:p>
    <w:p w14:paraId="3EA18567" w14:textId="77777777" w:rsidR="00F25862" w:rsidRPr="00427347" w:rsidRDefault="00F25862" w:rsidP="00F25862">
      <w:pPr>
        <w:spacing w:line="276" w:lineRule="auto"/>
        <w:ind w:left="720" w:hanging="720"/>
        <w:jc w:val="both"/>
        <w:rPr>
          <w:rFonts w:ascii="Georgia" w:hAnsi="Georgia" w:cs="Arial"/>
          <w:color w:val="auto"/>
          <w:sz w:val="22"/>
          <w:szCs w:val="22"/>
          <w:highlight w:val="lightGray"/>
          <w:lang w:eastAsia="en-US"/>
        </w:rPr>
      </w:pPr>
      <w:r w:rsidRPr="00427347">
        <w:rPr>
          <w:rFonts w:ascii="Georgia" w:hAnsi="Georgia" w:cs="Arial"/>
          <w:color w:val="auto"/>
          <w:sz w:val="22"/>
          <w:szCs w:val="22"/>
          <w:lang w:eastAsia="en-US"/>
        </w:rPr>
        <w:t>Smith, R., Allen, P., &amp; Baker, J. (2022). "Food Security and Climate Change: Challenges and Adaptations." Global Environmental Change, 24(2), 175-190.</w:t>
      </w:r>
    </w:p>
    <w:p w14:paraId="5587A0C6"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sidRPr="00427347">
        <w:rPr>
          <w:rFonts w:ascii="Georgia" w:hAnsi="Georgia" w:cs="Arial"/>
          <w:bCs/>
          <w:color w:val="auto"/>
          <w:sz w:val="22"/>
          <w:szCs w:val="22"/>
          <w:lang w:eastAsia="en-US"/>
        </w:rPr>
        <w:t>Sukmawani, Reny, Endang Tri Astutiningsih, dan Livia Ramadanti (2022). Dampak</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Program</w:t>
      </w:r>
    </w:p>
    <w:p w14:paraId="4F2FBC65"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Pr>
          <w:rFonts w:ascii="Georgia" w:hAnsi="Georgia" w:cs="Arial"/>
          <w:bCs/>
          <w:color w:val="auto"/>
          <w:sz w:val="22"/>
          <w:szCs w:val="22"/>
          <w:lang w:eastAsia="en-US"/>
        </w:rPr>
        <w:tab/>
      </w:r>
      <w:r>
        <w:rPr>
          <w:rFonts w:ascii="Georgia" w:hAnsi="Georgia" w:cs="Arial"/>
          <w:bCs/>
          <w:color w:val="auto"/>
          <w:sz w:val="22"/>
          <w:szCs w:val="22"/>
          <w:lang w:eastAsia="en-US"/>
        </w:rPr>
        <w:tab/>
      </w:r>
      <w:r w:rsidRPr="00427347">
        <w:rPr>
          <w:rFonts w:ascii="Georgia" w:hAnsi="Georgia" w:cs="Arial"/>
          <w:bCs/>
          <w:color w:val="auto"/>
          <w:sz w:val="22"/>
          <w:szCs w:val="22"/>
          <w:lang w:eastAsia="en-US"/>
        </w:rPr>
        <w:t>Pekarangan Pangan Lestari (P2L) Terhadap Tingkat Kecukupan</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Gizi (TKG), 10(2),</w:t>
      </w:r>
    </w:p>
    <w:p w14:paraId="755B612E" w14:textId="77777777" w:rsidR="00F25862" w:rsidRPr="00427347" w:rsidRDefault="00F25862" w:rsidP="00F25862">
      <w:pPr>
        <w:tabs>
          <w:tab w:val="left" w:pos="360"/>
        </w:tabs>
        <w:spacing w:line="276" w:lineRule="auto"/>
        <w:jc w:val="both"/>
        <w:rPr>
          <w:rFonts w:ascii="Georgia" w:hAnsi="Georgia" w:cs="Arial"/>
          <w:bCs/>
          <w:color w:val="auto"/>
          <w:sz w:val="22"/>
          <w:szCs w:val="22"/>
          <w:lang w:eastAsia="en-US"/>
        </w:rPr>
      </w:pPr>
      <w:r>
        <w:rPr>
          <w:rFonts w:ascii="Georgia" w:hAnsi="Georgia" w:cs="Arial"/>
          <w:bCs/>
          <w:color w:val="auto"/>
          <w:sz w:val="22"/>
          <w:szCs w:val="22"/>
          <w:lang w:eastAsia="en-US"/>
        </w:rPr>
        <w:tab/>
      </w:r>
      <w:r>
        <w:rPr>
          <w:rFonts w:ascii="Georgia" w:hAnsi="Georgia" w:cs="Arial"/>
          <w:bCs/>
          <w:color w:val="auto"/>
          <w:sz w:val="22"/>
          <w:szCs w:val="22"/>
          <w:lang w:eastAsia="en-US"/>
        </w:rPr>
        <w:tab/>
      </w:r>
      <w:r w:rsidRPr="00427347">
        <w:rPr>
          <w:rFonts w:ascii="Georgia" w:hAnsi="Georgia" w:cs="Arial"/>
          <w:bCs/>
          <w:color w:val="auto"/>
          <w:sz w:val="22"/>
          <w:szCs w:val="22"/>
          <w:lang w:eastAsia="en-US"/>
        </w:rPr>
        <w:t>225-230.</w:t>
      </w:r>
    </w:p>
    <w:p w14:paraId="4DAC1088"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 xml:space="preserve">Sulaiman, Ageng Hasan. (2019). Strategi Penguatan Modal Sosial Perempuan Tani dalam Pemanfaatan Lahan Perkarangan Terbatas di Kabupaten Bogor. Jurnal Pemyuluhan, 15(2), 239-253. </w:t>
      </w:r>
      <w:hyperlink r:id="rId13" w:history="1">
        <w:r w:rsidRPr="00427347">
          <w:rPr>
            <w:rFonts w:ascii="Georgia" w:hAnsi="Georgia" w:cs="Arial"/>
            <w:color w:val="auto"/>
            <w:sz w:val="22"/>
            <w:szCs w:val="22"/>
            <w:lang w:eastAsia="en-US"/>
          </w:rPr>
          <w:t>https://jurnal.ipb.ac.id/index.php/jupe/article/view/27737/17744</w:t>
        </w:r>
      </w:hyperlink>
      <w:r w:rsidRPr="00427347">
        <w:rPr>
          <w:rFonts w:ascii="Georgia" w:hAnsi="Georgia" w:cs="Arial"/>
          <w:color w:val="auto"/>
          <w:sz w:val="22"/>
          <w:szCs w:val="22"/>
          <w:lang w:eastAsia="en-US"/>
        </w:rPr>
        <w:t>.</w:t>
      </w:r>
    </w:p>
    <w:p w14:paraId="5D02FDC2" w14:textId="77777777" w:rsidR="00F25862" w:rsidRPr="00427347" w:rsidRDefault="00F25862" w:rsidP="00F25862">
      <w:pPr>
        <w:spacing w:line="276" w:lineRule="auto"/>
        <w:ind w:left="720" w:hanging="720"/>
        <w:jc w:val="both"/>
        <w:rPr>
          <w:rFonts w:ascii="Georgia" w:hAnsi="Georgia" w:cs="Arial"/>
          <w:color w:val="auto"/>
          <w:sz w:val="22"/>
          <w:szCs w:val="22"/>
          <w:lang w:eastAsia="en-US"/>
        </w:rPr>
      </w:pPr>
      <w:r w:rsidRPr="00427347">
        <w:rPr>
          <w:rFonts w:ascii="Georgia" w:hAnsi="Georgia" w:cs="Arial"/>
          <w:color w:val="auto"/>
          <w:sz w:val="22"/>
          <w:szCs w:val="22"/>
          <w:lang w:eastAsia="en-US"/>
        </w:rPr>
        <w:t>Tama, Renaldy Dwi and Evi Priyanti. (2022). Efektivitas Program Pekarangan Pangan Lestari (P2l) Dalam Upaya Ketahanan Pangan Keluarga di Desa Pasirkaliki Kabupaten Karawang Tahun 2021.</w:t>
      </w:r>
      <w:r w:rsidRPr="00427347">
        <w:rPr>
          <w:rFonts w:ascii="Georgia" w:hAnsi="Georgia"/>
          <w:color w:val="auto"/>
          <w:sz w:val="22"/>
          <w:szCs w:val="22"/>
          <w:lang w:eastAsia="en-US"/>
        </w:rPr>
        <w:t xml:space="preserve"> </w:t>
      </w:r>
      <w:r w:rsidRPr="00427347">
        <w:rPr>
          <w:rFonts w:ascii="Georgia" w:hAnsi="Georgia" w:cs="Arial"/>
          <w:color w:val="auto"/>
          <w:sz w:val="22"/>
          <w:szCs w:val="22"/>
          <w:lang w:eastAsia="en-US"/>
        </w:rPr>
        <w:t>Jurnal Ilmiah Wahana Pendidikan. 8(20), 282-289. https://doi.org/10.5281/zenodo.7242932</w:t>
      </w:r>
    </w:p>
    <w:p w14:paraId="56CDD8D6" w14:textId="77777777" w:rsidR="00F25862" w:rsidRDefault="00F25862" w:rsidP="00F25862">
      <w:pPr>
        <w:tabs>
          <w:tab w:val="left" w:pos="360"/>
        </w:tabs>
        <w:spacing w:line="276" w:lineRule="auto"/>
        <w:jc w:val="both"/>
        <w:rPr>
          <w:rFonts w:ascii="Georgia" w:hAnsi="Georgia" w:cs="Arial"/>
          <w:bCs/>
          <w:color w:val="auto"/>
          <w:sz w:val="22"/>
          <w:szCs w:val="22"/>
          <w:lang w:val="id-ID" w:eastAsia="en-US"/>
        </w:rPr>
      </w:pPr>
      <w:r w:rsidRPr="00427347">
        <w:rPr>
          <w:rFonts w:ascii="Georgia" w:hAnsi="Georgia" w:cs="Arial"/>
          <w:bCs/>
          <w:color w:val="auto"/>
          <w:sz w:val="22"/>
          <w:szCs w:val="22"/>
          <w:lang w:val="id-ID" w:eastAsia="en-US"/>
        </w:rPr>
        <w:t>Wiswasta, I Gusti Ngurah Alit, I Gusti Ayu Ari Agung, dan I Made Tamba (2018).</w:t>
      </w:r>
      <w:r>
        <w:rPr>
          <w:rFonts w:ascii="Georgia" w:hAnsi="Georgia" w:cs="Arial"/>
          <w:bCs/>
          <w:color w:val="auto"/>
          <w:sz w:val="22"/>
          <w:szCs w:val="22"/>
          <w:lang w:val="id-ID" w:eastAsia="en-US"/>
        </w:rPr>
        <w:t xml:space="preserve"> </w:t>
      </w:r>
      <w:r w:rsidRPr="00427347">
        <w:rPr>
          <w:rFonts w:ascii="Georgia" w:hAnsi="Georgia" w:cs="Arial"/>
          <w:bCs/>
          <w:color w:val="auto"/>
          <w:sz w:val="22"/>
          <w:szCs w:val="22"/>
          <w:lang w:val="id-ID" w:eastAsia="en-US"/>
        </w:rPr>
        <w:t>Analisis</w:t>
      </w:r>
    </w:p>
    <w:p w14:paraId="32047005" w14:textId="77777777" w:rsidR="00F25862" w:rsidRDefault="00F25862" w:rsidP="00F25862">
      <w:pPr>
        <w:tabs>
          <w:tab w:val="left" w:pos="360"/>
        </w:tabs>
        <w:spacing w:line="276" w:lineRule="auto"/>
        <w:jc w:val="both"/>
        <w:rPr>
          <w:rFonts w:ascii="Georgia" w:hAnsi="Georgia" w:cs="Arial"/>
          <w:bCs/>
          <w:color w:val="auto"/>
          <w:sz w:val="22"/>
          <w:szCs w:val="22"/>
          <w:lang w:val="id-ID" w:eastAsia="en-US"/>
        </w:rPr>
      </w:pPr>
      <w:r>
        <w:rPr>
          <w:rFonts w:ascii="Georgia" w:hAnsi="Georgia" w:cs="Arial"/>
          <w:bCs/>
          <w:color w:val="auto"/>
          <w:sz w:val="22"/>
          <w:szCs w:val="22"/>
          <w:lang w:val="id-ID" w:eastAsia="en-US"/>
        </w:rPr>
        <w:tab/>
      </w:r>
      <w:r>
        <w:rPr>
          <w:rFonts w:ascii="Georgia" w:hAnsi="Georgia" w:cs="Arial"/>
          <w:bCs/>
          <w:color w:val="auto"/>
          <w:sz w:val="22"/>
          <w:szCs w:val="22"/>
          <w:lang w:val="id-ID" w:eastAsia="en-US"/>
        </w:rPr>
        <w:tab/>
      </w:r>
      <w:r w:rsidRPr="00427347">
        <w:rPr>
          <w:rFonts w:ascii="Georgia" w:hAnsi="Georgia" w:cs="Arial"/>
          <w:bCs/>
          <w:color w:val="auto"/>
          <w:sz w:val="22"/>
          <w:szCs w:val="22"/>
          <w:lang w:val="id-ID" w:eastAsia="en-US"/>
        </w:rPr>
        <w:t>SWOT (Kajian Perencanaan Model, Strategi, dan Pengembangan</w:t>
      </w:r>
      <w:r>
        <w:rPr>
          <w:rFonts w:ascii="Georgia" w:hAnsi="Georgia" w:cs="Arial"/>
          <w:bCs/>
          <w:color w:val="auto"/>
          <w:sz w:val="22"/>
          <w:szCs w:val="22"/>
          <w:lang w:val="id-ID" w:eastAsia="en-US"/>
        </w:rPr>
        <w:t xml:space="preserve"> </w:t>
      </w:r>
      <w:r w:rsidRPr="00427347">
        <w:rPr>
          <w:rFonts w:ascii="Georgia" w:hAnsi="Georgia" w:cs="Arial"/>
          <w:bCs/>
          <w:color w:val="auto"/>
          <w:sz w:val="22"/>
          <w:szCs w:val="22"/>
          <w:lang w:val="id-ID" w:eastAsia="en-US"/>
        </w:rPr>
        <w:t>Usaha). Denpasar:</w:t>
      </w:r>
    </w:p>
    <w:p w14:paraId="6F4A4755" w14:textId="77777777" w:rsidR="00F25862" w:rsidRPr="00427347" w:rsidRDefault="00F25862" w:rsidP="00F25862">
      <w:pPr>
        <w:tabs>
          <w:tab w:val="left" w:pos="360"/>
        </w:tabs>
        <w:spacing w:line="276" w:lineRule="auto"/>
        <w:jc w:val="both"/>
        <w:rPr>
          <w:rFonts w:ascii="Georgia" w:hAnsi="Georgia" w:cs="Arial"/>
          <w:bCs/>
          <w:color w:val="auto"/>
          <w:sz w:val="22"/>
          <w:szCs w:val="22"/>
          <w:lang w:val="id-ID" w:eastAsia="en-US"/>
        </w:rPr>
      </w:pPr>
      <w:r>
        <w:rPr>
          <w:rFonts w:ascii="Georgia" w:hAnsi="Georgia" w:cs="Arial"/>
          <w:bCs/>
          <w:color w:val="auto"/>
          <w:sz w:val="22"/>
          <w:szCs w:val="22"/>
          <w:lang w:val="id-ID" w:eastAsia="en-US"/>
        </w:rPr>
        <w:tab/>
      </w:r>
      <w:r>
        <w:rPr>
          <w:rFonts w:ascii="Georgia" w:hAnsi="Georgia" w:cs="Arial"/>
          <w:bCs/>
          <w:color w:val="auto"/>
          <w:sz w:val="22"/>
          <w:szCs w:val="22"/>
          <w:lang w:val="id-ID" w:eastAsia="en-US"/>
        </w:rPr>
        <w:tab/>
      </w:r>
      <w:r w:rsidRPr="00427347">
        <w:rPr>
          <w:rFonts w:ascii="Georgia" w:hAnsi="Georgia" w:cs="Arial"/>
          <w:bCs/>
          <w:color w:val="auto"/>
          <w:sz w:val="22"/>
          <w:szCs w:val="22"/>
          <w:lang w:val="id-ID" w:eastAsia="en-US"/>
        </w:rPr>
        <w:t>Unma Press.</w:t>
      </w:r>
    </w:p>
    <w:p w14:paraId="0F9F67B7" w14:textId="77777777" w:rsidR="00F25862" w:rsidRDefault="00F25862" w:rsidP="00F25862">
      <w:pPr>
        <w:tabs>
          <w:tab w:val="left" w:pos="360"/>
        </w:tabs>
        <w:spacing w:line="276" w:lineRule="auto"/>
        <w:jc w:val="both"/>
        <w:rPr>
          <w:rFonts w:ascii="Georgia" w:hAnsi="Georgia" w:cs="Arial"/>
          <w:bCs/>
          <w:color w:val="auto"/>
          <w:sz w:val="22"/>
          <w:szCs w:val="22"/>
          <w:lang w:eastAsia="en-US"/>
        </w:rPr>
      </w:pPr>
      <w:r w:rsidRPr="00427347">
        <w:rPr>
          <w:rFonts w:ascii="Georgia" w:hAnsi="Georgia" w:cs="Arial"/>
          <w:bCs/>
          <w:color w:val="auto"/>
          <w:sz w:val="22"/>
          <w:szCs w:val="22"/>
          <w:lang w:eastAsia="en-US"/>
        </w:rPr>
        <w:t>Wuli, Rofinus Neto (2023). Penerapan Manajemen Sumber Daya Manusia</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Pertanian untuk</w:t>
      </w:r>
    </w:p>
    <w:p w14:paraId="715A973E" w14:textId="77777777" w:rsidR="00F25862" w:rsidRPr="008708F7" w:rsidRDefault="00F25862" w:rsidP="00F25862">
      <w:pPr>
        <w:widowControl w:val="0"/>
        <w:autoSpaceDE w:val="0"/>
        <w:autoSpaceDN w:val="0"/>
        <w:adjustRightInd w:val="0"/>
        <w:spacing w:after="60"/>
        <w:ind w:left="480" w:hanging="480"/>
        <w:jc w:val="both"/>
        <w:rPr>
          <w:rFonts w:ascii="Georgia" w:hAnsi="Georgia"/>
          <w:noProof/>
          <w:sz w:val="22"/>
        </w:rPr>
      </w:pPr>
      <w:r>
        <w:rPr>
          <w:rFonts w:ascii="Georgia" w:hAnsi="Georgia" w:cs="Arial"/>
          <w:bCs/>
          <w:color w:val="auto"/>
          <w:sz w:val="22"/>
          <w:szCs w:val="22"/>
          <w:lang w:eastAsia="en-US"/>
        </w:rPr>
        <w:tab/>
      </w:r>
      <w:r>
        <w:rPr>
          <w:rFonts w:ascii="Georgia" w:hAnsi="Georgia" w:cs="Arial"/>
          <w:bCs/>
          <w:color w:val="auto"/>
          <w:sz w:val="22"/>
          <w:szCs w:val="22"/>
          <w:lang w:eastAsia="en-US"/>
        </w:rPr>
        <w:tab/>
      </w:r>
      <w:r w:rsidRPr="00427347">
        <w:rPr>
          <w:rFonts w:ascii="Georgia" w:hAnsi="Georgia" w:cs="Arial"/>
          <w:bCs/>
          <w:color w:val="auto"/>
          <w:sz w:val="22"/>
          <w:szCs w:val="22"/>
          <w:lang w:eastAsia="en-US"/>
        </w:rPr>
        <w:t>Menciptakan Petani Unggul Demi Mencapai Ketahanan</w:t>
      </w:r>
      <w:r>
        <w:rPr>
          <w:rFonts w:ascii="Georgia" w:hAnsi="Georgia" w:cs="Arial"/>
          <w:bCs/>
          <w:color w:val="auto"/>
          <w:sz w:val="22"/>
          <w:szCs w:val="22"/>
          <w:lang w:eastAsia="en-US"/>
        </w:rPr>
        <w:t xml:space="preserve"> </w:t>
      </w:r>
      <w:r w:rsidRPr="00427347">
        <w:rPr>
          <w:rFonts w:ascii="Georgia" w:hAnsi="Georgia" w:cs="Arial"/>
          <w:bCs/>
          <w:color w:val="auto"/>
          <w:sz w:val="22"/>
          <w:szCs w:val="22"/>
          <w:lang w:eastAsia="en-US"/>
        </w:rPr>
        <w:t>Pangan, 2(1), 1-15.</w:t>
      </w:r>
    </w:p>
    <w:p w14:paraId="3B691578" w14:textId="77777777" w:rsidR="00F25862" w:rsidRPr="002406FD" w:rsidRDefault="00F25862" w:rsidP="00F25862">
      <w:pPr>
        <w:ind w:firstLine="709"/>
        <w:jc w:val="both"/>
        <w:rPr>
          <w:rFonts w:ascii="Georgia" w:eastAsia="Georgia" w:hAnsi="Georgia" w:cs="Georgia"/>
          <w:lang w:val="en-ID"/>
        </w:rPr>
      </w:pPr>
      <w:r w:rsidRPr="008708F7">
        <w:rPr>
          <w:rFonts w:ascii="Georgia" w:eastAsia="Georgia" w:hAnsi="Georgia" w:cs="Georgia"/>
          <w:sz w:val="22"/>
          <w:szCs w:val="22"/>
          <w:lang w:val="id-ID"/>
        </w:rPr>
        <w:fldChar w:fldCharType="end"/>
      </w:r>
    </w:p>
    <w:p w14:paraId="49695E75" w14:textId="77777777" w:rsidR="00F25862" w:rsidRPr="002406FD" w:rsidRDefault="00F25862" w:rsidP="00F25862">
      <w:pPr>
        <w:ind w:firstLine="709"/>
        <w:jc w:val="both"/>
        <w:rPr>
          <w:rFonts w:ascii="Georgia" w:eastAsia="Georgia" w:hAnsi="Georgia" w:cs="Georgia"/>
          <w:lang w:val="en-ID"/>
        </w:rPr>
      </w:pPr>
    </w:p>
    <w:p w14:paraId="6A597B61" w14:textId="77777777" w:rsidR="00F25862" w:rsidRDefault="00F25862" w:rsidP="00F25862">
      <w:pPr>
        <w:jc w:val="both"/>
        <w:rPr>
          <w:rFonts w:ascii="Georgia" w:eastAsia="Georgia" w:hAnsi="Georgia" w:cs="Georgia"/>
        </w:rPr>
      </w:pPr>
    </w:p>
    <w:p w14:paraId="05DF2005" w14:textId="77777777" w:rsidR="00F25862" w:rsidRDefault="00F25862" w:rsidP="00F25862">
      <w:pPr>
        <w:ind w:left="994"/>
        <w:jc w:val="both"/>
      </w:pPr>
    </w:p>
    <w:p w14:paraId="5BDC02E2" w14:textId="77777777" w:rsidR="00F25862" w:rsidRDefault="00F25862" w:rsidP="00F25862"/>
    <w:p w14:paraId="5EBB3573" w14:textId="77777777" w:rsidR="00E31BE2" w:rsidRDefault="00E31BE2"/>
    <w:sectPr w:rsidR="00E31BE2" w:rsidSect="000E1A2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20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1A99" w14:textId="77777777" w:rsidR="00F25106" w:rsidRDefault="00F25106">
      <w:r>
        <w:separator/>
      </w:r>
    </w:p>
  </w:endnote>
  <w:endnote w:type="continuationSeparator" w:id="0">
    <w:p w14:paraId="67143598" w14:textId="77777777" w:rsidR="00F25106" w:rsidRDefault="00F2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5DCF" w14:textId="77777777" w:rsidR="00DB08B5" w:rsidRDefault="00DB0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498897"/>
      <w:docPartObj>
        <w:docPartGallery w:val="Page Numbers (Bottom of Page)"/>
        <w:docPartUnique/>
      </w:docPartObj>
    </w:sdtPr>
    <w:sdtEndPr/>
    <w:sdtContent>
      <w:p w14:paraId="4EDF9F16" w14:textId="77777777" w:rsidR="00DC3540" w:rsidRDefault="00F25862">
        <w:pPr>
          <w:pStyle w:val="Footer"/>
          <w:jc w:val="center"/>
        </w:pPr>
        <w:r>
          <w:fldChar w:fldCharType="begin"/>
        </w:r>
        <w:r>
          <w:instrText>PAGE   \* MERGEFORMAT</w:instrText>
        </w:r>
        <w:r>
          <w:fldChar w:fldCharType="separate"/>
        </w:r>
        <w:r>
          <w:rPr>
            <w:lang w:val="id-ID"/>
          </w:rPr>
          <w:t>2</w:t>
        </w:r>
        <w:r>
          <w:fldChar w:fldCharType="end"/>
        </w:r>
      </w:p>
    </w:sdtContent>
  </w:sdt>
  <w:p w14:paraId="73E70168" w14:textId="77777777" w:rsidR="00DC3540" w:rsidRDefault="00DC35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5F3B" w14:textId="77777777" w:rsidR="00DC3540" w:rsidRDefault="00F25862">
    <w:pPr>
      <w:tabs>
        <w:tab w:val="center" w:pos="4320"/>
        <w:tab w:val="right" w:pos="8640"/>
      </w:tabs>
      <w:jc w:val="center"/>
      <w:rPr>
        <w:rFonts w:ascii="Cambria" w:eastAsia="Cambria" w:hAnsi="Cambria" w:cs="Cambria"/>
        <w:sz w:val="22"/>
        <w:szCs w:val="22"/>
      </w:rPr>
    </w:pPr>
    <w:r>
      <w:rPr>
        <w:rFonts w:ascii="Cambria" w:eastAsia="Cambria" w:hAnsi="Cambria" w:cs="Cambria"/>
        <w:b/>
        <w:sz w:val="22"/>
        <w:szCs w:val="22"/>
      </w:rPr>
      <w:t>Copyright</w:t>
    </w:r>
    <w:r>
      <w:rPr>
        <w:rFonts w:ascii="Cambria" w:eastAsia="Cambria" w:hAnsi="Cambria" w:cs="Cambria"/>
        <w:sz w:val="22"/>
        <w:szCs w:val="22"/>
      </w:rPr>
      <w:t>: © 2024 The Author(s)</w:t>
    </w:r>
  </w:p>
  <w:p w14:paraId="4273007F" w14:textId="77777777" w:rsidR="00DC3540" w:rsidRDefault="00F25862">
    <w:pPr>
      <w:pBdr>
        <w:top w:val="nil"/>
        <w:left w:val="nil"/>
        <w:bottom w:val="nil"/>
        <w:right w:val="nil"/>
        <w:between w:val="nil"/>
      </w:pBdr>
      <w:tabs>
        <w:tab w:val="center" w:pos="4513"/>
        <w:tab w:val="right" w:pos="9026"/>
      </w:tabs>
      <w:jc w:val="center"/>
    </w:pPr>
    <w:r>
      <w:rPr>
        <w:rFonts w:ascii="Cambria" w:eastAsia="Cambria" w:hAnsi="Cambria" w:cs="Cambria"/>
        <w:sz w:val="22"/>
        <w:szCs w:val="22"/>
      </w:rPr>
      <w:t>under a Creative Commons Attribution-</w:t>
    </w:r>
    <w:proofErr w:type="spellStart"/>
    <w:r>
      <w:rPr>
        <w:rFonts w:ascii="Cambria" w:eastAsia="Cambria" w:hAnsi="Cambria" w:cs="Cambria"/>
        <w:sz w:val="22"/>
        <w:szCs w:val="22"/>
      </w:rPr>
      <w:t>NonCommercial</w:t>
    </w:r>
    <w:proofErr w:type="spellEnd"/>
    <w:r>
      <w:rPr>
        <w:rFonts w:ascii="Cambria" w:eastAsia="Cambria" w:hAnsi="Cambria" w:cs="Cambria"/>
        <w:sz w:val="22"/>
        <w:szCs w:val="22"/>
      </w:rPr>
      <w:t xml:space="preserve">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C7F48" w14:textId="77777777" w:rsidR="00F25106" w:rsidRDefault="00F25106">
      <w:r>
        <w:separator/>
      </w:r>
    </w:p>
  </w:footnote>
  <w:footnote w:type="continuationSeparator" w:id="0">
    <w:p w14:paraId="7E34F105" w14:textId="77777777" w:rsidR="00F25106" w:rsidRDefault="00F2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97A9" w14:textId="77777777" w:rsidR="00DC3540" w:rsidRDefault="00F25862">
    <w:pPr>
      <w:pBdr>
        <w:top w:val="nil"/>
        <w:left w:val="nil"/>
        <w:bottom w:val="nil"/>
        <w:right w:val="nil"/>
        <w:between w:val="nil"/>
      </w:pBdr>
      <w:tabs>
        <w:tab w:val="center" w:pos="4513"/>
        <w:tab w:val="right" w:pos="9026"/>
      </w:tabs>
      <w:jc w:val="right"/>
    </w:pPr>
    <w:r>
      <w:rPr>
        <w:i/>
        <w:sz w:val="18"/>
        <w:szCs w:val="18"/>
      </w:rPr>
      <w:t>Article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88CC" w14:textId="77777777" w:rsidR="00DC3540" w:rsidRPr="008D0C05" w:rsidRDefault="00F25862" w:rsidP="008D0C05">
    <w:pPr>
      <w:pStyle w:val="Header"/>
      <w:rPr>
        <w:i/>
        <w:iCs/>
      </w:rPr>
    </w:pPr>
    <w:proofErr w:type="spellStart"/>
    <w:r w:rsidRPr="008D0C05">
      <w:rPr>
        <w:rFonts w:ascii="Georgia" w:eastAsia="Georgia" w:hAnsi="Georgia" w:cs="Georgia"/>
        <w:bCs/>
        <w:i/>
        <w:iCs/>
        <w:sz w:val="18"/>
        <w:szCs w:val="18"/>
      </w:rPr>
      <w:t>Ainun</w:t>
    </w:r>
    <w:proofErr w:type="spellEnd"/>
    <w:r w:rsidRPr="008D0C05">
      <w:rPr>
        <w:rFonts w:ascii="Georgia" w:eastAsia="Georgia" w:hAnsi="Georgia" w:cs="Georgia"/>
        <w:bCs/>
        <w:i/>
        <w:iCs/>
        <w:sz w:val="18"/>
        <w:szCs w:val="18"/>
      </w:rPr>
      <w:t xml:space="preserve"> </w:t>
    </w:r>
    <w:proofErr w:type="spellStart"/>
    <w:r w:rsidRPr="008D0C05">
      <w:rPr>
        <w:rFonts w:ascii="Georgia" w:eastAsia="Georgia" w:hAnsi="Georgia" w:cs="Georgia"/>
        <w:bCs/>
        <w:i/>
        <w:iCs/>
        <w:sz w:val="18"/>
        <w:szCs w:val="18"/>
      </w:rPr>
      <w:t>Nafisatur</w:t>
    </w:r>
    <w:proofErr w:type="spellEnd"/>
    <w:r w:rsidRPr="008D0C05">
      <w:rPr>
        <w:rFonts w:ascii="Georgia" w:eastAsia="Georgia" w:hAnsi="Georgia" w:cs="Georgia"/>
        <w:bCs/>
        <w:i/>
        <w:iCs/>
        <w:sz w:val="18"/>
        <w:szCs w:val="18"/>
      </w:rPr>
      <w:t xml:space="preserve"> </w:t>
    </w:r>
    <w:proofErr w:type="spellStart"/>
    <w:r w:rsidRPr="008D0C05">
      <w:rPr>
        <w:rFonts w:ascii="Georgia" w:eastAsia="Georgia" w:hAnsi="Georgia" w:cs="Georgia"/>
        <w:bCs/>
        <w:i/>
        <w:iCs/>
        <w:sz w:val="18"/>
        <w:szCs w:val="18"/>
      </w:rPr>
      <w:t>Rohmah</w:t>
    </w:r>
    <w:proofErr w:type="spellEnd"/>
    <w:r w:rsidRPr="008D0C05">
      <w:rPr>
        <w:rFonts w:ascii="Georgia" w:eastAsia="Georgia" w:hAnsi="Georgia" w:cs="Georgia"/>
        <w:i/>
        <w:iCs/>
        <w:sz w:val="18"/>
        <w:szCs w:val="18"/>
      </w:rPr>
      <w:t>,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4965" w14:textId="77777777" w:rsidR="00DC3540" w:rsidRDefault="00DC3540" w:rsidP="004E5876">
    <w:pPr>
      <w:tabs>
        <w:tab w:val="left" w:pos="426"/>
      </w:tabs>
      <w:spacing w:before="72"/>
      <w:ind w:left="4176"/>
      <w:rPr>
        <w:spacing w:val="-2"/>
        <w:sz w:val="20"/>
      </w:rPr>
    </w:pPr>
  </w:p>
  <w:p w14:paraId="1CF1B203" w14:textId="77777777" w:rsidR="00DC3540" w:rsidRDefault="00F25862" w:rsidP="004E5876">
    <w:pPr>
      <w:tabs>
        <w:tab w:val="left" w:pos="426"/>
      </w:tabs>
      <w:spacing w:before="72"/>
      <w:ind w:left="4176"/>
      <w:rPr>
        <w:sz w:val="20"/>
      </w:rPr>
    </w:pPr>
    <w:r>
      <w:rPr>
        <w:noProof/>
        <w:spacing w:val="-2"/>
        <w:sz w:val="20"/>
      </w:rPr>
      <w:drawing>
        <wp:anchor distT="0" distB="0" distL="114300" distR="114300" simplePos="0" relativeHeight="251658240" behindDoc="0" locked="0" layoutInCell="1" allowOverlap="1" wp14:anchorId="460A7363" wp14:editId="19F974DC">
          <wp:simplePos x="0" y="0"/>
          <wp:positionH relativeFrom="column">
            <wp:posOffset>487680</wp:posOffset>
          </wp:positionH>
          <wp:positionV relativeFrom="paragraph">
            <wp:posOffset>6350</wp:posOffset>
          </wp:positionV>
          <wp:extent cx="1786270" cy="714429"/>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786270" cy="714429"/>
                  </a:xfrm>
                  <a:prstGeom prst="rect">
                    <a:avLst/>
                  </a:prstGeom>
                </pic:spPr>
              </pic:pic>
            </a:graphicData>
          </a:graphic>
        </wp:anchor>
      </w:drawing>
    </w:r>
    <w:proofErr w:type="spellStart"/>
    <w:r>
      <w:rPr>
        <w:spacing w:val="-2"/>
        <w:sz w:val="20"/>
      </w:rPr>
      <w:t>Turāth</w:t>
    </w:r>
    <w:proofErr w:type="spellEnd"/>
    <w:r>
      <w:rPr>
        <w:spacing w:val="-2"/>
        <w:sz w:val="20"/>
      </w:rPr>
      <w:t>:</w:t>
    </w:r>
    <w:r>
      <w:rPr>
        <w:spacing w:val="2"/>
        <w:sz w:val="20"/>
      </w:rPr>
      <w:t xml:space="preserve"> </w:t>
    </w:r>
    <w:r>
      <w:rPr>
        <w:spacing w:val="-2"/>
        <w:sz w:val="20"/>
      </w:rPr>
      <w:t>Interdisciplinary</w:t>
    </w:r>
    <w:r>
      <w:rPr>
        <w:spacing w:val="3"/>
        <w:sz w:val="20"/>
      </w:rPr>
      <w:t xml:space="preserve"> </w:t>
    </w:r>
    <w:r>
      <w:rPr>
        <w:spacing w:val="-2"/>
        <w:sz w:val="20"/>
      </w:rPr>
      <w:t>Journal</w:t>
    </w:r>
    <w:r>
      <w:rPr>
        <w:spacing w:val="1"/>
        <w:sz w:val="20"/>
      </w:rPr>
      <w:t xml:space="preserve"> </w:t>
    </w:r>
    <w:r>
      <w:rPr>
        <w:spacing w:val="-2"/>
        <w:sz w:val="20"/>
      </w:rPr>
      <w:t>of</w:t>
    </w:r>
    <w:r>
      <w:rPr>
        <w:spacing w:val="1"/>
        <w:sz w:val="20"/>
      </w:rPr>
      <w:t xml:space="preserve"> </w:t>
    </w:r>
    <w:r>
      <w:rPr>
        <w:spacing w:val="-2"/>
        <w:sz w:val="20"/>
      </w:rPr>
      <w:t>Economics</w:t>
    </w:r>
  </w:p>
  <w:p w14:paraId="7F46EAC9" w14:textId="77777777" w:rsidR="00DC3540" w:rsidRDefault="00F25862" w:rsidP="00F7162F">
    <w:pPr>
      <w:spacing w:before="7" w:line="247" w:lineRule="auto"/>
      <w:ind w:left="4176" w:right="2080"/>
      <w:rPr>
        <w:sz w:val="18"/>
      </w:rPr>
    </w:pPr>
    <w:r>
      <w:rPr>
        <w:sz w:val="18"/>
      </w:rPr>
      <w:t>Vol.</w:t>
    </w:r>
    <w:r>
      <w:rPr>
        <w:spacing w:val="-1"/>
        <w:sz w:val="18"/>
      </w:rPr>
      <w:t xml:space="preserve"> </w:t>
    </w:r>
    <w:r>
      <w:rPr>
        <w:sz w:val="18"/>
      </w:rPr>
      <w:t>2</w:t>
    </w:r>
    <w:r>
      <w:rPr>
        <w:spacing w:val="-1"/>
        <w:sz w:val="18"/>
      </w:rPr>
      <w:t xml:space="preserve"> </w:t>
    </w:r>
    <w:r>
      <w:rPr>
        <w:sz w:val="18"/>
      </w:rPr>
      <w:t>No.</w:t>
    </w:r>
    <w:r>
      <w:rPr>
        <w:spacing w:val="-3"/>
        <w:sz w:val="18"/>
      </w:rPr>
      <w:t xml:space="preserve"> </w:t>
    </w:r>
    <w:r>
      <w:rPr>
        <w:sz w:val="18"/>
      </w:rPr>
      <w:t>(1)</w:t>
    </w:r>
    <w:r>
      <w:rPr>
        <w:spacing w:val="-1"/>
        <w:sz w:val="18"/>
      </w:rPr>
      <w:t xml:space="preserve"> </w:t>
    </w:r>
    <w:r>
      <w:rPr>
        <w:sz w:val="18"/>
      </w:rPr>
      <w:t>(</w:t>
    </w:r>
    <w:proofErr w:type="spellStart"/>
    <w:r>
      <w:rPr>
        <w:sz w:val="18"/>
      </w:rPr>
      <w:t>juni</w:t>
    </w:r>
    <w:proofErr w:type="spellEnd"/>
    <w:r>
      <w:rPr>
        <w:spacing w:val="-2"/>
        <w:sz w:val="18"/>
      </w:rPr>
      <w:t xml:space="preserve"> </w:t>
    </w:r>
    <w:r>
      <w:rPr>
        <w:sz w:val="18"/>
      </w:rPr>
      <w:t>2025),</w:t>
    </w:r>
    <w:r>
      <w:rPr>
        <w:spacing w:val="-3"/>
        <w:sz w:val="18"/>
      </w:rPr>
      <w:t xml:space="preserve"> </w:t>
    </w:r>
    <w:r>
      <w:rPr>
        <w:sz w:val="18"/>
      </w:rPr>
      <w:t>45</w:t>
    </w:r>
    <w:r>
      <w:rPr>
        <w:spacing w:val="-1"/>
        <w:sz w:val="18"/>
      </w:rPr>
      <w:t xml:space="preserve"> </w:t>
    </w:r>
    <w:r>
      <w:rPr>
        <w:sz w:val="18"/>
      </w:rPr>
      <w:t>-</w:t>
    </w:r>
    <w:r>
      <w:rPr>
        <w:spacing w:val="-4"/>
        <w:sz w:val="18"/>
      </w:rPr>
      <w:t xml:space="preserve"> </w:t>
    </w:r>
    <w:r>
      <w:rPr>
        <w:sz w:val="18"/>
      </w:rPr>
      <w:t xml:space="preserve">59 </w:t>
    </w:r>
    <w:r>
      <w:rPr>
        <w:spacing w:val="-2"/>
        <w:sz w:val="18"/>
      </w:rPr>
      <w:t>P-ISSN</w:t>
    </w:r>
    <w:r>
      <w:rPr>
        <w:sz w:val="18"/>
      </w:rPr>
      <w:t xml:space="preserve"> </w:t>
    </w:r>
    <w:r>
      <w:rPr>
        <w:spacing w:val="-2"/>
        <w:sz w:val="18"/>
      </w:rPr>
      <w:t>2252-7907</w:t>
    </w:r>
    <w:r>
      <w:rPr>
        <w:spacing w:val="3"/>
        <w:sz w:val="18"/>
      </w:rPr>
      <w:t xml:space="preserve"> </w:t>
    </w:r>
    <w:r>
      <w:rPr>
        <w:spacing w:val="-2"/>
        <w:sz w:val="18"/>
      </w:rPr>
      <w:t>|</w:t>
    </w:r>
    <w:r>
      <w:rPr>
        <w:spacing w:val="1"/>
        <w:sz w:val="18"/>
      </w:rPr>
      <w:t xml:space="preserve"> </w:t>
    </w:r>
    <w:r>
      <w:rPr>
        <w:spacing w:val="-2"/>
        <w:sz w:val="18"/>
      </w:rPr>
      <w:t>E-ISSN</w:t>
    </w:r>
    <w:r>
      <w:rPr>
        <w:spacing w:val="1"/>
        <w:sz w:val="18"/>
      </w:rPr>
      <w:t xml:space="preserve"> </w:t>
    </w:r>
    <w:r>
      <w:rPr>
        <w:spacing w:val="-2"/>
        <w:sz w:val="18"/>
      </w:rPr>
      <w:t>2716-</w:t>
    </w:r>
    <w:r>
      <w:rPr>
        <w:spacing w:val="-4"/>
        <w:sz w:val="18"/>
      </w:rPr>
      <w:t>0335</w:t>
    </w:r>
  </w:p>
  <w:p w14:paraId="5EAA2F15" w14:textId="77777777" w:rsidR="00DC3540" w:rsidRDefault="00F25862" w:rsidP="00424C10">
    <w:pPr>
      <w:spacing w:before="6"/>
      <w:ind w:left="4176"/>
      <w:rPr>
        <w:sz w:val="18"/>
      </w:rPr>
    </w:pPr>
    <w:proofErr w:type="gramStart"/>
    <w:r>
      <w:rPr>
        <w:spacing w:val="-2"/>
        <w:sz w:val="18"/>
      </w:rPr>
      <w:t>DOI</w:t>
    </w:r>
    <w:r>
      <w:rPr>
        <w:spacing w:val="20"/>
        <w:sz w:val="18"/>
      </w:rPr>
      <w:t xml:space="preserve"> </w:t>
    </w:r>
    <w:r>
      <w:rPr>
        <w:spacing w:val="-2"/>
        <w:sz w:val="18"/>
      </w:rPr>
      <w:t>:</w:t>
    </w:r>
    <w:proofErr w:type="gramEnd"/>
    <w:r>
      <w:rPr>
        <w:spacing w:val="23"/>
        <w:sz w:val="18"/>
      </w:rPr>
      <w:t xml:space="preserve"> </w:t>
    </w:r>
    <w:r>
      <w:rPr>
        <w:spacing w:val="-2"/>
        <w:sz w:val="18"/>
      </w:rPr>
      <w:t>10.xxxxxx/turath.202x.xx.x.xxx-</w:t>
    </w:r>
    <w:r>
      <w:rPr>
        <w:spacing w:val="-5"/>
        <w:sz w:val="18"/>
      </w:rPr>
      <w:t>xxx</w:t>
    </w:r>
  </w:p>
  <w:p w14:paraId="41DD2174" w14:textId="77777777" w:rsidR="00DC3540" w:rsidRPr="00424C10" w:rsidRDefault="00DC3540" w:rsidP="00424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3CA3"/>
    <w:multiLevelType w:val="hybridMultilevel"/>
    <w:tmpl w:val="DC88D09C"/>
    <w:lvl w:ilvl="0" w:tplc="04090011">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 w15:restartNumberingAfterBreak="0">
    <w:nsid w:val="04CB7D74"/>
    <w:multiLevelType w:val="hybridMultilevel"/>
    <w:tmpl w:val="3FEEE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7515F"/>
    <w:multiLevelType w:val="hybridMultilevel"/>
    <w:tmpl w:val="0C80E5AE"/>
    <w:lvl w:ilvl="0" w:tplc="C2B66C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27CBB"/>
    <w:multiLevelType w:val="hybridMultilevel"/>
    <w:tmpl w:val="C200F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37EA1"/>
    <w:multiLevelType w:val="hybridMultilevel"/>
    <w:tmpl w:val="65EEC2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F32F0"/>
    <w:multiLevelType w:val="hybridMultilevel"/>
    <w:tmpl w:val="A282F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22777"/>
    <w:multiLevelType w:val="hybridMultilevel"/>
    <w:tmpl w:val="7FAA2768"/>
    <w:lvl w:ilvl="0" w:tplc="918C31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5E7EA6"/>
    <w:multiLevelType w:val="hybridMultilevel"/>
    <w:tmpl w:val="093815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3DD4621"/>
    <w:multiLevelType w:val="hybridMultilevel"/>
    <w:tmpl w:val="5DE0C7D0"/>
    <w:lvl w:ilvl="0" w:tplc="02BC2F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9CE358E"/>
    <w:multiLevelType w:val="hybridMultilevel"/>
    <w:tmpl w:val="9BDCAF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961F2"/>
    <w:multiLevelType w:val="hybridMultilevel"/>
    <w:tmpl w:val="B49A0A5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81A5FD4"/>
    <w:multiLevelType w:val="hybridMultilevel"/>
    <w:tmpl w:val="1A50DA6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9504341"/>
    <w:multiLevelType w:val="hybridMultilevel"/>
    <w:tmpl w:val="8DF69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695590">
    <w:abstractNumId w:val="0"/>
  </w:num>
  <w:num w:numId="2" w16cid:durableId="1810048423">
    <w:abstractNumId w:val="2"/>
  </w:num>
  <w:num w:numId="3" w16cid:durableId="293954005">
    <w:abstractNumId w:val="3"/>
  </w:num>
  <w:num w:numId="4" w16cid:durableId="1335305024">
    <w:abstractNumId w:val="5"/>
  </w:num>
  <w:num w:numId="5" w16cid:durableId="2131514481">
    <w:abstractNumId w:val="12"/>
  </w:num>
  <w:num w:numId="6" w16cid:durableId="725643625">
    <w:abstractNumId w:val="1"/>
  </w:num>
  <w:num w:numId="7" w16cid:durableId="1444424964">
    <w:abstractNumId w:val="4"/>
  </w:num>
  <w:num w:numId="8" w16cid:durableId="1700273922">
    <w:abstractNumId w:val="9"/>
  </w:num>
  <w:num w:numId="9" w16cid:durableId="1132557057">
    <w:abstractNumId w:val="10"/>
  </w:num>
  <w:num w:numId="10" w16cid:durableId="2119325928">
    <w:abstractNumId w:val="11"/>
  </w:num>
  <w:num w:numId="11" w16cid:durableId="2017536898">
    <w:abstractNumId w:val="8"/>
  </w:num>
  <w:num w:numId="12" w16cid:durableId="1213997821">
    <w:abstractNumId w:val="6"/>
  </w:num>
  <w:num w:numId="13" w16cid:durableId="26565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62"/>
    <w:rsid w:val="000145FC"/>
    <w:rsid w:val="000331BD"/>
    <w:rsid w:val="00035BBC"/>
    <w:rsid w:val="000B225B"/>
    <w:rsid w:val="000E00B3"/>
    <w:rsid w:val="000E1A27"/>
    <w:rsid w:val="00103A93"/>
    <w:rsid w:val="001A3046"/>
    <w:rsid w:val="001B7566"/>
    <w:rsid w:val="001F674A"/>
    <w:rsid w:val="00240AD7"/>
    <w:rsid w:val="00245700"/>
    <w:rsid w:val="00253317"/>
    <w:rsid w:val="00275C77"/>
    <w:rsid w:val="002D25C7"/>
    <w:rsid w:val="002D53B4"/>
    <w:rsid w:val="002E36D5"/>
    <w:rsid w:val="002E7D2F"/>
    <w:rsid w:val="00302C02"/>
    <w:rsid w:val="00356059"/>
    <w:rsid w:val="00372E01"/>
    <w:rsid w:val="00386FFB"/>
    <w:rsid w:val="003A2B82"/>
    <w:rsid w:val="003B1B06"/>
    <w:rsid w:val="003B3E83"/>
    <w:rsid w:val="003D4309"/>
    <w:rsid w:val="003F37F3"/>
    <w:rsid w:val="003F5C0B"/>
    <w:rsid w:val="004567EC"/>
    <w:rsid w:val="00462131"/>
    <w:rsid w:val="00473A11"/>
    <w:rsid w:val="004D4A58"/>
    <w:rsid w:val="004E4E43"/>
    <w:rsid w:val="005571C6"/>
    <w:rsid w:val="00583CD5"/>
    <w:rsid w:val="005A1323"/>
    <w:rsid w:val="005A3815"/>
    <w:rsid w:val="005A41E8"/>
    <w:rsid w:val="005F3A0F"/>
    <w:rsid w:val="0061267E"/>
    <w:rsid w:val="00630681"/>
    <w:rsid w:val="00640981"/>
    <w:rsid w:val="00665885"/>
    <w:rsid w:val="006C72FB"/>
    <w:rsid w:val="006E216A"/>
    <w:rsid w:val="006E5152"/>
    <w:rsid w:val="007024FD"/>
    <w:rsid w:val="00704DCB"/>
    <w:rsid w:val="00710D65"/>
    <w:rsid w:val="0071603A"/>
    <w:rsid w:val="00725DCE"/>
    <w:rsid w:val="007849D9"/>
    <w:rsid w:val="008157B1"/>
    <w:rsid w:val="00815B38"/>
    <w:rsid w:val="008A21E9"/>
    <w:rsid w:val="008D0479"/>
    <w:rsid w:val="008F4535"/>
    <w:rsid w:val="009003DF"/>
    <w:rsid w:val="00942FD0"/>
    <w:rsid w:val="00943A7A"/>
    <w:rsid w:val="009611A6"/>
    <w:rsid w:val="009E66B6"/>
    <w:rsid w:val="00A25430"/>
    <w:rsid w:val="00A35CCF"/>
    <w:rsid w:val="00A52FD2"/>
    <w:rsid w:val="00A908E0"/>
    <w:rsid w:val="00AB4D60"/>
    <w:rsid w:val="00AC7378"/>
    <w:rsid w:val="00AC7738"/>
    <w:rsid w:val="00AD539A"/>
    <w:rsid w:val="00AF3254"/>
    <w:rsid w:val="00B02DEE"/>
    <w:rsid w:val="00B319B5"/>
    <w:rsid w:val="00B43D19"/>
    <w:rsid w:val="00BA7D3F"/>
    <w:rsid w:val="00BE6057"/>
    <w:rsid w:val="00BE7C33"/>
    <w:rsid w:val="00C26B3C"/>
    <w:rsid w:val="00C938F2"/>
    <w:rsid w:val="00CA67DA"/>
    <w:rsid w:val="00CF3413"/>
    <w:rsid w:val="00CF4AB6"/>
    <w:rsid w:val="00D14E99"/>
    <w:rsid w:val="00D34447"/>
    <w:rsid w:val="00D459C9"/>
    <w:rsid w:val="00D73D91"/>
    <w:rsid w:val="00DB08B5"/>
    <w:rsid w:val="00DC3540"/>
    <w:rsid w:val="00DD0CB2"/>
    <w:rsid w:val="00E05983"/>
    <w:rsid w:val="00E24618"/>
    <w:rsid w:val="00E31BE2"/>
    <w:rsid w:val="00E55523"/>
    <w:rsid w:val="00E70C19"/>
    <w:rsid w:val="00EA39A0"/>
    <w:rsid w:val="00F06DBA"/>
    <w:rsid w:val="00F15A01"/>
    <w:rsid w:val="00F17C98"/>
    <w:rsid w:val="00F23E31"/>
    <w:rsid w:val="00F25106"/>
    <w:rsid w:val="00F25862"/>
    <w:rsid w:val="00F34AA2"/>
    <w:rsid w:val="00F90932"/>
    <w:rsid w:val="00F92166"/>
    <w:rsid w:val="00FA0EE5"/>
    <w:rsid w:val="00FA1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58949"/>
  <w15:chartTrackingRefBased/>
  <w15:docId w15:val="{A7E71BA5-62FD-4514-8B5C-158E2C19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62"/>
    <w:pPr>
      <w:spacing w:after="0" w:line="240" w:lineRule="auto"/>
    </w:pPr>
    <w:rPr>
      <w:rFonts w:ascii="Times New Roman" w:eastAsia="Times New Roman" w:hAnsi="Times New Roman" w:cs="Times New Roman"/>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862"/>
    <w:pPr>
      <w:tabs>
        <w:tab w:val="center" w:pos="4513"/>
        <w:tab w:val="right" w:pos="9026"/>
      </w:tabs>
    </w:pPr>
  </w:style>
  <w:style w:type="character" w:customStyle="1" w:styleId="HeaderChar">
    <w:name w:val="Header Char"/>
    <w:basedOn w:val="DefaultParagraphFont"/>
    <w:link w:val="Header"/>
    <w:uiPriority w:val="99"/>
    <w:rsid w:val="00F25862"/>
    <w:rPr>
      <w:rFonts w:ascii="Times New Roman" w:eastAsia="Times New Roman" w:hAnsi="Times New Roman" w:cs="Times New Roman"/>
      <w:color w:val="000000"/>
      <w:sz w:val="24"/>
      <w:szCs w:val="24"/>
      <w:lang w:eastAsia="en-ID"/>
    </w:rPr>
  </w:style>
  <w:style w:type="paragraph" w:styleId="ListParagraph">
    <w:name w:val="List Paragraph"/>
    <w:basedOn w:val="Normal"/>
    <w:uiPriority w:val="34"/>
    <w:qFormat/>
    <w:rsid w:val="00F25862"/>
    <w:pPr>
      <w:ind w:left="720"/>
      <w:contextualSpacing/>
    </w:pPr>
  </w:style>
  <w:style w:type="character" w:styleId="Hyperlink">
    <w:name w:val="Hyperlink"/>
    <w:basedOn w:val="DefaultParagraphFont"/>
    <w:uiPriority w:val="99"/>
    <w:unhideWhenUsed/>
    <w:rsid w:val="00F25862"/>
    <w:rPr>
      <w:color w:val="0563C1" w:themeColor="hyperlink"/>
      <w:u w:val="single"/>
    </w:rPr>
  </w:style>
  <w:style w:type="paragraph" w:styleId="Footer">
    <w:name w:val="footer"/>
    <w:basedOn w:val="Normal"/>
    <w:link w:val="FooterChar"/>
    <w:uiPriority w:val="99"/>
    <w:unhideWhenUsed/>
    <w:rsid w:val="00F25862"/>
    <w:pPr>
      <w:tabs>
        <w:tab w:val="center" w:pos="4513"/>
        <w:tab w:val="right" w:pos="9026"/>
      </w:tabs>
    </w:pPr>
  </w:style>
  <w:style w:type="character" w:customStyle="1" w:styleId="FooterChar">
    <w:name w:val="Footer Char"/>
    <w:basedOn w:val="DefaultParagraphFont"/>
    <w:link w:val="Footer"/>
    <w:uiPriority w:val="99"/>
    <w:rsid w:val="00F25862"/>
    <w:rPr>
      <w:rFonts w:ascii="Times New Roman" w:eastAsia="Times New Roman" w:hAnsi="Times New Roman" w:cs="Times New Roman"/>
      <w:color w:val="000000"/>
      <w:sz w:val="24"/>
      <w:szCs w:val="24"/>
      <w:lang w:eastAsia="en-ID"/>
    </w:rPr>
  </w:style>
  <w:style w:type="character" w:customStyle="1" w:styleId="selectable-text">
    <w:name w:val="selectable-text"/>
    <w:basedOn w:val="DefaultParagraphFont"/>
    <w:rsid w:val="00F25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urnal.ipb.ac.id/index.php/jupe/article/view/27737/17744"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egahapsari@uinsatu.ac.id" TargetMode="External"/><Relationship Id="rId12" Type="http://schemas.openxmlformats.org/officeDocument/2006/relationships/hyperlink" Target="https://doi.org/10.55127/ae.v15i2.9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10.1016/j.lrp.2023.10320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16/j.tifs.2018.05.002"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33474/jisop.v1i1.2679"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4246</Words>
  <Characters>24204</Characters>
  <Application>Microsoft Office Word</Application>
  <DocSecurity>0</DocSecurity>
  <Lines>201</Lines>
  <Paragraphs>56</Paragraphs>
  <ScaleCrop>false</ScaleCrop>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Alfa Rizi</cp:lastModifiedBy>
  <cp:revision>4</cp:revision>
  <dcterms:created xsi:type="dcterms:W3CDTF">2026-07-15T12:06:00Z</dcterms:created>
  <dcterms:modified xsi:type="dcterms:W3CDTF">2026-07-15T13:02:00Z</dcterms:modified>
</cp:coreProperties>
</file>